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F0DC" w14:textId="77777777" w:rsidR="00147515" w:rsidRPr="00122625" w:rsidRDefault="00557100" w:rsidP="00122625">
      <w:pPr>
        <w:spacing w:after="120"/>
        <w:rPr>
          <w:rFonts w:ascii="Arial" w:hAnsi="Arial" w:cs="Arial"/>
          <w:b/>
          <w:bCs/>
          <w:color w:val="2F759E"/>
          <w:sz w:val="32"/>
          <w:szCs w:val="32"/>
          <w:lang w:val="en-GB" w:eastAsia="en-GB"/>
        </w:rPr>
      </w:pPr>
      <w:r w:rsidRPr="00122625">
        <w:rPr>
          <w:rFonts w:ascii="Arial" w:hAnsi="Arial" w:cs="Arial"/>
          <w:b/>
          <w:bCs/>
          <w:color w:val="2F759E"/>
          <w:sz w:val="32"/>
          <w:szCs w:val="32"/>
          <w:lang w:val="en-GB" w:eastAsia="en-GB"/>
        </w:rPr>
        <w:t>Consent to p</w:t>
      </w:r>
      <w:r w:rsidR="002A3CF8" w:rsidRPr="00122625">
        <w:rPr>
          <w:rFonts w:ascii="Arial" w:hAnsi="Arial" w:cs="Arial"/>
          <w:b/>
          <w:bCs/>
          <w:color w:val="2F759E"/>
          <w:sz w:val="32"/>
          <w:szCs w:val="32"/>
          <w:lang w:val="en-GB" w:eastAsia="en-GB"/>
        </w:rPr>
        <w:t xml:space="preserve">roxy </w:t>
      </w:r>
      <w:r w:rsidRPr="00122625">
        <w:rPr>
          <w:rFonts w:ascii="Arial" w:hAnsi="Arial" w:cs="Arial"/>
          <w:b/>
          <w:bCs/>
          <w:color w:val="2F759E"/>
          <w:sz w:val="32"/>
          <w:szCs w:val="32"/>
          <w:lang w:val="en-GB" w:eastAsia="en-GB"/>
        </w:rPr>
        <w:t>a</w:t>
      </w:r>
      <w:r w:rsidR="00147515" w:rsidRPr="00122625">
        <w:rPr>
          <w:rFonts w:ascii="Arial" w:hAnsi="Arial" w:cs="Arial"/>
          <w:b/>
          <w:bCs/>
          <w:color w:val="2F759E"/>
          <w:sz w:val="32"/>
          <w:szCs w:val="32"/>
          <w:lang w:val="en-GB" w:eastAsia="en-GB"/>
        </w:rPr>
        <w:t>ccess to GP online services</w:t>
      </w:r>
    </w:p>
    <w:p w14:paraId="1D250BBB" w14:textId="77777777" w:rsidR="00BD25E5" w:rsidRPr="00122625" w:rsidRDefault="000161C2" w:rsidP="008C6BF6">
      <w:pPr>
        <w:rPr>
          <w:rFonts w:ascii="Arial" w:hAnsi="Arial" w:cs="Arial"/>
          <w:color w:val="2F759E"/>
          <w:sz w:val="22"/>
          <w:szCs w:val="22"/>
          <w:lang w:val="en-GB"/>
        </w:rPr>
      </w:pPr>
      <w:r w:rsidRPr="00122625">
        <w:rPr>
          <w:rFonts w:ascii="Arial" w:hAnsi="Arial" w:cs="Arial"/>
          <w:b/>
          <w:color w:val="2F759E"/>
          <w:sz w:val="22"/>
          <w:szCs w:val="22"/>
          <w:lang w:val="en-GB"/>
        </w:rPr>
        <w:t>Note</w:t>
      </w:r>
      <w:r w:rsidRPr="00122625">
        <w:rPr>
          <w:rFonts w:ascii="Arial" w:hAnsi="Arial" w:cs="Arial"/>
          <w:color w:val="2F759E"/>
          <w:sz w:val="22"/>
          <w:szCs w:val="22"/>
          <w:lang w:val="en-GB"/>
        </w:rPr>
        <w:t>: If the patient does not have capacity to consent to grant proxy access and proxy access is considered by the practice to be in the patient</w:t>
      </w:r>
      <w:r w:rsidR="00BD7DAE" w:rsidRPr="00122625">
        <w:rPr>
          <w:rFonts w:ascii="Arial" w:hAnsi="Arial" w:cs="Arial"/>
          <w:color w:val="2F759E"/>
          <w:sz w:val="22"/>
          <w:szCs w:val="22"/>
          <w:lang w:val="en-GB"/>
        </w:rPr>
        <w:t>’s best interest section 1 of this form may be omitted.</w:t>
      </w:r>
    </w:p>
    <w:p w14:paraId="313FB650" w14:textId="77777777" w:rsidR="00BD7DAE" w:rsidRPr="006C15ED" w:rsidRDefault="00BD7DAE" w:rsidP="008C6BF6">
      <w:pPr>
        <w:rPr>
          <w:rFonts w:ascii="Arial" w:hAnsi="Arial" w:cs="Arial"/>
          <w:color w:val="2F759E"/>
          <w:szCs w:val="22"/>
          <w:lang w:val="en-GB"/>
        </w:rPr>
      </w:pPr>
    </w:p>
    <w:p w14:paraId="7441E96F" w14:textId="77777777" w:rsidR="000161C2" w:rsidRPr="006C15ED" w:rsidRDefault="00BD7DAE" w:rsidP="006C15ED">
      <w:pPr>
        <w:spacing w:after="120" w:line="276" w:lineRule="auto"/>
        <w:rPr>
          <w:rFonts w:ascii="Arial" w:hAnsi="Arial" w:cs="Arial"/>
          <w:b/>
          <w:color w:val="2F759E"/>
          <w:sz w:val="28"/>
          <w:szCs w:val="22"/>
          <w:lang w:val="en-GB"/>
        </w:rPr>
      </w:pPr>
      <w:r w:rsidRPr="006C15ED">
        <w:rPr>
          <w:rFonts w:ascii="Arial" w:hAnsi="Arial" w:cs="Arial"/>
          <w:b/>
          <w:color w:val="2F759E"/>
          <w:sz w:val="28"/>
          <w:szCs w:val="22"/>
          <w:lang w:val="en-GB"/>
        </w:rPr>
        <w:t>Section 1</w:t>
      </w:r>
    </w:p>
    <w:p w14:paraId="51118B1A" w14:textId="77777777" w:rsidR="006C15ED" w:rsidRDefault="00025DE5" w:rsidP="006C15ED">
      <w:pPr>
        <w:spacing w:after="120" w:line="360" w:lineRule="auto"/>
        <w:rPr>
          <w:rFonts w:ascii="Arial" w:hAnsi="Arial" w:cs="Arial"/>
          <w:sz w:val="22"/>
          <w:szCs w:val="22"/>
          <w:lang w:val="en-GB"/>
        </w:rPr>
      </w:pPr>
      <w:r>
        <w:rPr>
          <w:rFonts w:ascii="Arial" w:hAnsi="Arial" w:cs="Arial"/>
          <w:sz w:val="22"/>
          <w:szCs w:val="22"/>
          <w:lang w:val="en-GB"/>
        </w:rPr>
        <w:t xml:space="preserve">I,………………………………………………….. </w:t>
      </w:r>
      <w:r w:rsidR="008C6BF6" w:rsidRPr="006B1156">
        <w:rPr>
          <w:rFonts w:ascii="Arial" w:hAnsi="Arial" w:cs="Arial"/>
          <w:sz w:val="22"/>
          <w:szCs w:val="22"/>
          <w:lang w:val="en-GB"/>
        </w:rPr>
        <w:t>(name of patient)</w:t>
      </w:r>
      <w:r>
        <w:rPr>
          <w:rFonts w:ascii="Arial" w:hAnsi="Arial" w:cs="Arial"/>
          <w:sz w:val="22"/>
          <w:szCs w:val="22"/>
          <w:lang w:val="en-GB"/>
        </w:rPr>
        <w:t>,</w:t>
      </w:r>
      <w:r w:rsidR="008C6BF6" w:rsidRPr="006B1156">
        <w:rPr>
          <w:rFonts w:ascii="Arial" w:hAnsi="Arial" w:cs="Arial"/>
          <w:sz w:val="22"/>
          <w:szCs w:val="22"/>
          <w:lang w:val="en-GB"/>
        </w:rPr>
        <w:t xml:space="preserve"> gi</w:t>
      </w:r>
      <w:r w:rsidR="006C15ED">
        <w:rPr>
          <w:rFonts w:ascii="Arial" w:hAnsi="Arial" w:cs="Arial"/>
          <w:sz w:val="22"/>
          <w:szCs w:val="22"/>
          <w:lang w:val="en-GB"/>
        </w:rPr>
        <w:t>ve permission to my GP practice</w:t>
      </w:r>
    </w:p>
    <w:p w14:paraId="27EC2AF1" w14:textId="29124148" w:rsidR="006C15ED" w:rsidRDefault="008C6BF6" w:rsidP="006C15ED">
      <w:pPr>
        <w:spacing w:after="120" w:line="360" w:lineRule="auto"/>
        <w:rPr>
          <w:rFonts w:ascii="Arial" w:hAnsi="Arial" w:cs="Arial"/>
          <w:sz w:val="22"/>
          <w:szCs w:val="22"/>
          <w:lang w:val="en-GB"/>
        </w:rPr>
      </w:pPr>
      <w:r w:rsidRPr="006B1156">
        <w:rPr>
          <w:rFonts w:ascii="Arial" w:hAnsi="Arial" w:cs="Arial"/>
          <w:sz w:val="22"/>
          <w:szCs w:val="22"/>
          <w:lang w:val="en-GB"/>
        </w:rPr>
        <w:t>to give the following people</w:t>
      </w:r>
      <w:r w:rsidR="00025DE5">
        <w:rPr>
          <w:rFonts w:ascii="Arial" w:hAnsi="Arial" w:cs="Arial"/>
          <w:sz w:val="22"/>
          <w:szCs w:val="22"/>
          <w:lang w:val="en-GB"/>
        </w:rPr>
        <w:t xml:space="preserve"> ….………………………………………………………………..…………….. </w:t>
      </w:r>
    </w:p>
    <w:p w14:paraId="1FA54761" w14:textId="2A383186" w:rsidR="00BD25E5" w:rsidRPr="00BD7DAE" w:rsidRDefault="008C6BF6" w:rsidP="006C15ED">
      <w:pPr>
        <w:spacing w:after="120" w:line="360" w:lineRule="auto"/>
        <w:rPr>
          <w:rFonts w:ascii="Arial" w:hAnsi="Arial" w:cs="Arial"/>
          <w:color w:val="3366FF"/>
          <w:sz w:val="22"/>
          <w:szCs w:val="22"/>
          <w:lang w:val="en-GB"/>
        </w:rPr>
      </w:pPr>
      <w:r w:rsidRPr="006B1156">
        <w:rPr>
          <w:rFonts w:ascii="Arial" w:hAnsi="Arial" w:cs="Arial"/>
          <w:sz w:val="22"/>
          <w:szCs w:val="22"/>
          <w:lang w:val="en-GB"/>
        </w:rPr>
        <w:t xml:space="preserve">proxy access to the online services as indicated </w:t>
      </w:r>
      <w:r w:rsidRPr="006C15ED">
        <w:rPr>
          <w:rFonts w:ascii="Arial" w:hAnsi="Arial" w:cs="Arial"/>
          <w:sz w:val="22"/>
          <w:szCs w:val="22"/>
          <w:lang w:val="en-GB"/>
        </w:rPr>
        <w:t>below</w:t>
      </w:r>
      <w:r w:rsidR="00BD7DAE" w:rsidRPr="006C15ED">
        <w:rPr>
          <w:rFonts w:ascii="Arial" w:hAnsi="Arial" w:cs="Arial"/>
          <w:sz w:val="22"/>
          <w:szCs w:val="22"/>
          <w:lang w:val="en-GB"/>
        </w:rPr>
        <w:t xml:space="preserve"> in</w:t>
      </w:r>
      <w:r w:rsidR="00BD7DAE" w:rsidRPr="00122625">
        <w:rPr>
          <w:rFonts w:ascii="Arial" w:hAnsi="Arial" w:cs="Arial"/>
          <w:color w:val="2F759E"/>
          <w:sz w:val="22"/>
          <w:szCs w:val="22"/>
          <w:lang w:val="en-GB"/>
        </w:rPr>
        <w:t xml:space="preserve"> section 2</w:t>
      </w:r>
      <w:r w:rsidR="00BD25E5" w:rsidRPr="00122625">
        <w:rPr>
          <w:rFonts w:ascii="Arial" w:hAnsi="Arial" w:cs="Arial"/>
          <w:color w:val="2F759E"/>
          <w:sz w:val="22"/>
          <w:szCs w:val="22"/>
          <w:lang w:val="en-GB"/>
        </w:rPr>
        <w:t>.</w:t>
      </w:r>
    </w:p>
    <w:p w14:paraId="22B0180D" w14:textId="77777777" w:rsidR="008C6BF6" w:rsidRPr="006B1156" w:rsidRDefault="008C6BF6" w:rsidP="006C15ED">
      <w:pPr>
        <w:spacing w:line="360" w:lineRule="auto"/>
        <w:rPr>
          <w:rFonts w:ascii="Arial" w:hAnsi="Arial" w:cs="Arial"/>
          <w:sz w:val="22"/>
          <w:szCs w:val="22"/>
          <w:lang w:val="en-GB"/>
        </w:rPr>
      </w:pPr>
      <w:r w:rsidRPr="006B1156">
        <w:rPr>
          <w:rFonts w:ascii="Arial" w:hAnsi="Arial" w:cs="Arial"/>
          <w:sz w:val="22"/>
          <w:szCs w:val="22"/>
          <w:lang w:val="en-GB"/>
        </w:rPr>
        <w:t>I reserve the right to reverse any decision I make in granting proxy access at any time.</w:t>
      </w:r>
    </w:p>
    <w:p w14:paraId="443BE2B9" w14:textId="77777777" w:rsidR="008C6BF6" w:rsidRDefault="008C6BF6" w:rsidP="006C15ED">
      <w:pPr>
        <w:spacing w:line="360" w:lineRule="auto"/>
        <w:rPr>
          <w:rFonts w:ascii="Arial" w:hAnsi="Arial" w:cs="Arial"/>
          <w:sz w:val="22"/>
          <w:szCs w:val="22"/>
          <w:lang w:val="en-GB"/>
        </w:rPr>
      </w:pPr>
      <w:r w:rsidRPr="006B1156">
        <w:rPr>
          <w:rFonts w:ascii="Arial" w:hAnsi="Arial" w:cs="Arial"/>
          <w:sz w:val="22"/>
          <w:szCs w:val="22"/>
          <w:lang w:val="en-GB"/>
        </w:rPr>
        <w:t>I understand the risks of allowing someone else to have access to my health records.</w:t>
      </w:r>
    </w:p>
    <w:p w14:paraId="4AF38E36" w14:textId="7CA39BE9" w:rsidR="00375D0B" w:rsidRPr="006B1156" w:rsidRDefault="00375D0B" w:rsidP="006C15ED">
      <w:pPr>
        <w:spacing w:line="360" w:lineRule="auto"/>
        <w:rPr>
          <w:rFonts w:ascii="Arial" w:hAnsi="Arial" w:cs="Arial"/>
          <w:sz w:val="22"/>
          <w:szCs w:val="22"/>
          <w:lang w:val="en-GB"/>
        </w:rPr>
      </w:pPr>
      <w:r>
        <w:rPr>
          <w:rFonts w:ascii="Arial" w:hAnsi="Arial" w:cs="Arial"/>
          <w:sz w:val="22"/>
          <w:szCs w:val="22"/>
          <w:lang w:val="en-GB"/>
        </w:rPr>
        <w:t>I have read and understand the information leaflet provided by the practice</w:t>
      </w:r>
    </w:p>
    <w:p w14:paraId="4875A661" w14:textId="77777777" w:rsidR="008C6BF6" w:rsidRPr="006B1156" w:rsidRDefault="008C6BF6" w:rsidP="008C6BF6">
      <w:pPr>
        <w:rPr>
          <w:rFonts w:ascii="Arial" w:hAnsi="Arial" w:cs="Arial"/>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8"/>
        <w:gridCol w:w="2381"/>
      </w:tblGrid>
      <w:tr w:rsidR="00C20EAC" w:rsidRPr="006B1156" w14:paraId="3B071ACA" w14:textId="77777777" w:rsidTr="001B11FD">
        <w:trPr>
          <w:trHeight w:val="675"/>
        </w:trPr>
        <w:tc>
          <w:tcPr>
            <w:tcW w:w="7258" w:type="dxa"/>
          </w:tcPr>
          <w:p w14:paraId="647CA28A" w14:textId="77777777" w:rsidR="00C20EAC" w:rsidRPr="006B1156" w:rsidRDefault="00C20EAC" w:rsidP="003362F6">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Signature of patient</w:t>
            </w:r>
          </w:p>
        </w:tc>
        <w:tc>
          <w:tcPr>
            <w:tcW w:w="2381" w:type="dxa"/>
          </w:tcPr>
          <w:p w14:paraId="1C747707" w14:textId="77777777" w:rsidR="00C20EAC" w:rsidRPr="006B1156" w:rsidRDefault="00C20EAC" w:rsidP="003362F6">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Date</w:t>
            </w:r>
          </w:p>
        </w:tc>
      </w:tr>
    </w:tbl>
    <w:p w14:paraId="1A9B89A8" w14:textId="77777777" w:rsidR="008C6BF6" w:rsidRDefault="008C6BF6" w:rsidP="008C6BF6">
      <w:pPr>
        <w:rPr>
          <w:rFonts w:ascii="Arial" w:hAnsi="Arial" w:cs="Arial"/>
          <w:color w:val="000000" w:themeColor="text1"/>
          <w:sz w:val="22"/>
          <w:szCs w:val="22"/>
          <w:lang w:val="en-GB"/>
        </w:rPr>
      </w:pPr>
    </w:p>
    <w:p w14:paraId="5BFCB670" w14:textId="77777777" w:rsidR="00E12742" w:rsidRPr="006C15ED" w:rsidRDefault="00BD7DAE" w:rsidP="006C15ED">
      <w:pPr>
        <w:spacing w:after="120"/>
        <w:rPr>
          <w:rFonts w:ascii="Arial" w:hAnsi="Arial" w:cs="Arial"/>
          <w:b/>
          <w:color w:val="2F759E"/>
          <w:sz w:val="28"/>
          <w:szCs w:val="22"/>
          <w:lang w:val="en-GB"/>
        </w:rPr>
      </w:pPr>
      <w:r w:rsidRPr="006C15ED">
        <w:rPr>
          <w:rFonts w:ascii="Arial" w:hAnsi="Arial" w:cs="Arial"/>
          <w:b/>
          <w:color w:val="2F759E"/>
          <w:sz w:val="28"/>
          <w:szCs w:val="22"/>
          <w:lang w:val="en-GB"/>
        </w:rPr>
        <w:t>Section 2</w:t>
      </w:r>
    </w:p>
    <w:tbl>
      <w:tblPr>
        <w:tblStyle w:val="TableGrid"/>
        <w:tblW w:w="9639" w:type="dxa"/>
        <w:tblInd w:w="108" w:type="dxa"/>
        <w:tblLook w:val="04A0" w:firstRow="1" w:lastRow="0" w:firstColumn="1" w:lastColumn="0" w:noHBand="0" w:noVBand="1"/>
      </w:tblPr>
      <w:tblGrid>
        <w:gridCol w:w="8789"/>
        <w:gridCol w:w="850"/>
      </w:tblGrid>
      <w:tr w:rsidR="008C6BF6" w:rsidRPr="006B1156" w14:paraId="6EEED4F6" w14:textId="77777777" w:rsidTr="00901484">
        <w:trPr>
          <w:trHeight w:val="340"/>
        </w:trPr>
        <w:tc>
          <w:tcPr>
            <w:tcW w:w="8789" w:type="dxa"/>
            <w:vAlign w:val="center"/>
          </w:tcPr>
          <w:p w14:paraId="08EFE0AD" w14:textId="77777777" w:rsidR="008C6BF6" w:rsidRPr="006B1156" w:rsidRDefault="008C6BF6" w:rsidP="00025DE5">
            <w:pPr>
              <w:pStyle w:val="ListNumbe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Online appointments booking</w:t>
            </w:r>
          </w:p>
        </w:tc>
        <w:tc>
          <w:tcPr>
            <w:tcW w:w="850" w:type="dxa"/>
            <w:vAlign w:val="center"/>
          </w:tcPr>
          <w:p w14:paraId="758AF53B"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14:paraId="07642881" w14:textId="77777777" w:rsidTr="00901484">
        <w:trPr>
          <w:trHeight w:val="340"/>
        </w:trPr>
        <w:tc>
          <w:tcPr>
            <w:tcW w:w="8789" w:type="dxa"/>
            <w:vAlign w:val="center"/>
          </w:tcPr>
          <w:p w14:paraId="5B6CDD5F" w14:textId="77777777" w:rsidR="008C6BF6" w:rsidRPr="006B1156" w:rsidRDefault="008C6BF6" w:rsidP="00025DE5">
            <w:pPr>
              <w:pStyle w:val="ListNumbe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Online prescription management</w:t>
            </w:r>
          </w:p>
        </w:tc>
        <w:tc>
          <w:tcPr>
            <w:tcW w:w="850" w:type="dxa"/>
            <w:vAlign w:val="center"/>
          </w:tcPr>
          <w:p w14:paraId="7A757706"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14:paraId="66DB098E" w14:textId="77777777" w:rsidTr="00901484">
        <w:trPr>
          <w:trHeight w:val="340"/>
        </w:trPr>
        <w:tc>
          <w:tcPr>
            <w:tcW w:w="8789" w:type="dxa"/>
            <w:vAlign w:val="center"/>
          </w:tcPr>
          <w:p w14:paraId="28729224" w14:textId="6E43F787" w:rsidR="008C6BF6" w:rsidRPr="006B1156" w:rsidRDefault="008C6BF6" w:rsidP="00025DE5">
            <w:pPr>
              <w:pStyle w:val="ListNumbe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 xml:space="preserve">Accessing the medical record for                                 </w:t>
            </w:r>
            <w:r w:rsidR="00025DE5">
              <w:rPr>
                <w:rFonts w:ascii="Arial" w:hAnsi="Arial" w:cs="Arial"/>
                <w:color w:val="000000" w:themeColor="text1"/>
                <w:sz w:val="22"/>
                <w:szCs w:val="22"/>
              </w:rPr>
              <w:t xml:space="preserve">               </w:t>
            </w:r>
            <w:r w:rsidRPr="006B1156">
              <w:rPr>
                <w:rFonts w:ascii="Arial" w:hAnsi="Arial" w:cs="Arial"/>
                <w:color w:val="000000" w:themeColor="text1"/>
                <w:sz w:val="22"/>
                <w:szCs w:val="22"/>
              </w:rPr>
              <w:t xml:space="preserve">    (name of patient)</w:t>
            </w:r>
          </w:p>
        </w:tc>
        <w:tc>
          <w:tcPr>
            <w:tcW w:w="850" w:type="dxa"/>
            <w:vAlign w:val="center"/>
          </w:tcPr>
          <w:p w14:paraId="4E5D282C"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bl>
    <w:p w14:paraId="7C0A8A2A" w14:textId="77777777" w:rsidR="008C6BF6" w:rsidRPr="006C15ED" w:rsidRDefault="008C6BF6" w:rsidP="008C6BF6">
      <w:pPr>
        <w:rPr>
          <w:rFonts w:ascii="Arial" w:hAnsi="Arial" w:cs="Arial"/>
          <w:color w:val="2F759E"/>
          <w:szCs w:val="22"/>
          <w:lang w:val="en-GB"/>
        </w:rPr>
      </w:pPr>
    </w:p>
    <w:p w14:paraId="3B635795" w14:textId="77777777" w:rsidR="00BD25E5" w:rsidRPr="006C15ED" w:rsidRDefault="00BD7DAE" w:rsidP="006C15ED">
      <w:pPr>
        <w:spacing w:after="120"/>
        <w:rPr>
          <w:rFonts w:ascii="Arial" w:hAnsi="Arial" w:cs="Arial"/>
          <w:b/>
          <w:color w:val="2F759E"/>
          <w:sz w:val="28"/>
          <w:szCs w:val="22"/>
          <w:lang w:val="en-GB"/>
        </w:rPr>
      </w:pPr>
      <w:r w:rsidRPr="006C15ED">
        <w:rPr>
          <w:rFonts w:ascii="Arial" w:hAnsi="Arial" w:cs="Arial"/>
          <w:b/>
          <w:color w:val="2F759E"/>
          <w:sz w:val="28"/>
          <w:szCs w:val="22"/>
          <w:lang w:val="en-GB"/>
        </w:rPr>
        <w:t>Section 3</w:t>
      </w:r>
    </w:p>
    <w:p w14:paraId="30B341F6" w14:textId="77777777" w:rsidR="00025DE5" w:rsidRDefault="008C6BF6" w:rsidP="00025DE5">
      <w:pPr>
        <w:spacing w:after="60" w:line="276" w:lineRule="auto"/>
        <w:rPr>
          <w:rFonts w:ascii="Arial" w:hAnsi="Arial" w:cs="Arial"/>
          <w:color w:val="3366FF"/>
          <w:sz w:val="22"/>
          <w:szCs w:val="22"/>
          <w:lang w:val="en-GB"/>
        </w:rPr>
      </w:pPr>
      <w:r w:rsidRPr="006B1156">
        <w:rPr>
          <w:rFonts w:ascii="Arial" w:hAnsi="Arial" w:cs="Arial"/>
          <w:sz w:val="22"/>
          <w:szCs w:val="22"/>
          <w:lang w:val="en-GB"/>
        </w:rPr>
        <w:t>I</w:t>
      </w:r>
      <w:r w:rsidR="00BD7DAE">
        <w:rPr>
          <w:rFonts w:ascii="Arial" w:hAnsi="Arial" w:cs="Arial"/>
          <w:sz w:val="22"/>
          <w:szCs w:val="22"/>
          <w:lang w:val="en-GB"/>
        </w:rPr>
        <w:t>/</w:t>
      </w:r>
      <w:r w:rsidR="00BD7DAE" w:rsidRPr="00122625">
        <w:rPr>
          <w:rFonts w:ascii="Arial" w:hAnsi="Arial" w:cs="Arial"/>
          <w:color w:val="2F759E"/>
          <w:sz w:val="22"/>
          <w:szCs w:val="22"/>
          <w:lang w:val="en-GB"/>
        </w:rPr>
        <w:t>we</w:t>
      </w:r>
      <w:r w:rsidR="00BD7DAE">
        <w:rPr>
          <w:rFonts w:ascii="Arial" w:hAnsi="Arial" w:cs="Arial"/>
          <w:sz w:val="22"/>
          <w:szCs w:val="22"/>
          <w:lang w:val="en-GB"/>
        </w:rPr>
        <w:t>…………………………………………………………………………….. (names of representatives)</w:t>
      </w:r>
      <w:r w:rsidRPr="006B1156">
        <w:rPr>
          <w:rFonts w:ascii="Arial" w:hAnsi="Arial" w:cs="Arial"/>
          <w:sz w:val="22"/>
          <w:szCs w:val="22"/>
          <w:lang w:val="en-GB"/>
        </w:rPr>
        <w:t xml:space="preserve"> wish to have online access to the s</w:t>
      </w:r>
      <w:r w:rsidR="00BD7DAE">
        <w:rPr>
          <w:rFonts w:ascii="Arial" w:hAnsi="Arial" w:cs="Arial"/>
          <w:sz w:val="22"/>
          <w:szCs w:val="22"/>
          <w:lang w:val="en-GB"/>
        </w:rPr>
        <w:t xml:space="preserve">ervices ticked in the box above </w:t>
      </w:r>
      <w:r w:rsidR="00BD7DAE" w:rsidRPr="00122625">
        <w:rPr>
          <w:rFonts w:ascii="Arial" w:hAnsi="Arial" w:cs="Arial"/>
          <w:color w:val="2F759E"/>
          <w:sz w:val="22"/>
          <w:szCs w:val="22"/>
          <w:lang w:val="en-GB"/>
        </w:rPr>
        <w:t>in section 2</w:t>
      </w:r>
      <w:r w:rsidR="00025DE5" w:rsidRPr="00122625">
        <w:rPr>
          <w:rFonts w:ascii="Arial" w:hAnsi="Arial" w:cs="Arial"/>
          <w:color w:val="2F759E"/>
          <w:sz w:val="22"/>
          <w:szCs w:val="22"/>
          <w:lang w:val="en-GB"/>
        </w:rPr>
        <w:t xml:space="preserve"> </w:t>
      </w:r>
    </w:p>
    <w:p w14:paraId="0F71B453" w14:textId="67F639AE" w:rsidR="00BD25E5" w:rsidRPr="006B1156" w:rsidRDefault="00BD7DAE" w:rsidP="00025DE5">
      <w:pPr>
        <w:spacing w:after="60" w:line="276" w:lineRule="auto"/>
        <w:rPr>
          <w:rFonts w:ascii="Arial" w:hAnsi="Arial" w:cs="Arial"/>
          <w:sz w:val="22"/>
          <w:szCs w:val="22"/>
          <w:lang w:val="en-GB"/>
        </w:rPr>
      </w:pPr>
      <w:r>
        <w:rPr>
          <w:rFonts w:ascii="Arial" w:hAnsi="Arial" w:cs="Arial"/>
          <w:sz w:val="22"/>
          <w:szCs w:val="22"/>
          <w:lang w:val="en-GB"/>
        </w:rPr>
        <w:t>f</w:t>
      </w:r>
      <w:r w:rsidR="008C6BF6" w:rsidRPr="006B1156">
        <w:rPr>
          <w:rFonts w:ascii="Arial" w:hAnsi="Arial" w:cs="Arial"/>
          <w:sz w:val="22"/>
          <w:szCs w:val="22"/>
          <w:lang w:val="en-GB"/>
        </w:rPr>
        <w:t>or</w:t>
      </w:r>
      <w:r>
        <w:rPr>
          <w:rFonts w:ascii="Arial" w:hAnsi="Arial" w:cs="Arial"/>
          <w:sz w:val="22"/>
          <w:szCs w:val="22"/>
          <w:lang w:val="en-GB"/>
        </w:rPr>
        <w:t xml:space="preserve"> ……………………………</w:t>
      </w:r>
      <w:r w:rsidR="00E12742">
        <w:rPr>
          <w:rFonts w:ascii="Arial" w:hAnsi="Arial" w:cs="Arial"/>
          <w:sz w:val="22"/>
          <w:szCs w:val="22"/>
          <w:lang w:val="en-GB"/>
        </w:rPr>
        <w:t>………….</w:t>
      </w:r>
      <w:r>
        <w:rPr>
          <w:rFonts w:ascii="Arial" w:hAnsi="Arial" w:cs="Arial"/>
          <w:sz w:val="22"/>
          <w:szCs w:val="22"/>
          <w:lang w:val="en-GB"/>
        </w:rPr>
        <w:t>………</w:t>
      </w:r>
      <w:r w:rsidR="008C6BF6" w:rsidRPr="006B1156">
        <w:rPr>
          <w:rFonts w:ascii="Arial" w:hAnsi="Arial" w:cs="Arial"/>
          <w:sz w:val="22"/>
          <w:szCs w:val="22"/>
          <w:lang w:val="en-GB"/>
        </w:rPr>
        <w:t xml:space="preserve"> (name of patient). </w:t>
      </w:r>
    </w:p>
    <w:p w14:paraId="0B278E3C" w14:textId="77777777" w:rsidR="008C6BF6" w:rsidRPr="006B1156" w:rsidRDefault="008C6BF6" w:rsidP="006C15ED">
      <w:pPr>
        <w:spacing w:after="240" w:line="276" w:lineRule="auto"/>
        <w:rPr>
          <w:sz w:val="22"/>
          <w:szCs w:val="22"/>
          <w:lang w:val="en-GB"/>
        </w:rPr>
      </w:pPr>
      <w:r w:rsidRPr="006B1156">
        <w:rPr>
          <w:rFonts w:ascii="Arial" w:hAnsi="Arial" w:cs="Arial"/>
          <w:sz w:val="22"/>
          <w:szCs w:val="22"/>
          <w:lang w:val="en-GB"/>
        </w:rPr>
        <w:t>I</w:t>
      </w:r>
      <w:r w:rsidR="00BD7DAE">
        <w:rPr>
          <w:rFonts w:ascii="Arial" w:hAnsi="Arial" w:cs="Arial"/>
          <w:sz w:val="22"/>
          <w:szCs w:val="22"/>
          <w:lang w:val="en-GB"/>
        </w:rPr>
        <w:t>/</w:t>
      </w:r>
      <w:r w:rsidR="00BD7DAE" w:rsidRPr="00122625">
        <w:rPr>
          <w:rFonts w:ascii="Arial" w:hAnsi="Arial" w:cs="Arial"/>
          <w:color w:val="2F759E"/>
          <w:sz w:val="22"/>
          <w:szCs w:val="22"/>
          <w:lang w:val="en-GB"/>
        </w:rPr>
        <w:t>we</w:t>
      </w:r>
      <w:r w:rsidRPr="006B1156">
        <w:rPr>
          <w:rFonts w:ascii="Arial" w:hAnsi="Arial" w:cs="Arial"/>
          <w:sz w:val="22"/>
          <w:szCs w:val="22"/>
          <w:lang w:val="en-GB"/>
        </w:rPr>
        <w:t xml:space="preserve"> understand </w:t>
      </w:r>
      <w:r w:rsidR="00E12742">
        <w:rPr>
          <w:rFonts w:ascii="Arial" w:hAnsi="Arial" w:cs="Arial"/>
          <w:sz w:val="22"/>
          <w:szCs w:val="22"/>
          <w:lang w:val="en-GB"/>
        </w:rPr>
        <w:t>my</w:t>
      </w:r>
      <w:r w:rsidR="00BD7DAE">
        <w:rPr>
          <w:rFonts w:ascii="Arial" w:hAnsi="Arial" w:cs="Arial"/>
          <w:sz w:val="22"/>
          <w:szCs w:val="22"/>
          <w:lang w:val="en-GB"/>
        </w:rPr>
        <w:t>/</w:t>
      </w:r>
      <w:r w:rsidR="00BD7DAE" w:rsidRPr="00122625">
        <w:rPr>
          <w:rFonts w:ascii="Arial" w:hAnsi="Arial" w:cs="Arial"/>
          <w:color w:val="2F759E"/>
          <w:sz w:val="22"/>
          <w:szCs w:val="22"/>
          <w:lang w:val="en-GB"/>
        </w:rPr>
        <w:t>our</w:t>
      </w:r>
      <w:r w:rsidRPr="006B1156">
        <w:rPr>
          <w:rFonts w:ascii="Arial" w:hAnsi="Arial" w:cs="Arial"/>
          <w:sz w:val="22"/>
          <w:szCs w:val="22"/>
          <w:lang w:val="en-GB"/>
        </w:rPr>
        <w:t xml:space="preserve"> responsibility for safeguarding sensitive medical information and I</w:t>
      </w:r>
      <w:r w:rsidR="00BD7DAE">
        <w:rPr>
          <w:rFonts w:ascii="Arial" w:hAnsi="Arial" w:cs="Arial"/>
          <w:sz w:val="22"/>
          <w:szCs w:val="22"/>
          <w:lang w:val="en-GB"/>
        </w:rPr>
        <w:t>/</w:t>
      </w:r>
      <w:r w:rsidR="00BD7DAE" w:rsidRPr="00122625">
        <w:rPr>
          <w:rFonts w:ascii="Arial" w:hAnsi="Arial" w:cs="Arial"/>
          <w:color w:val="2F759E"/>
          <w:sz w:val="22"/>
          <w:szCs w:val="22"/>
          <w:lang w:val="en-GB"/>
        </w:rPr>
        <w:t>we</w:t>
      </w:r>
      <w:r w:rsidRPr="00122625">
        <w:rPr>
          <w:rFonts w:ascii="Arial" w:hAnsi="Arial" w:cs="Arial"/>
          <w:color w:val="2F759E"/>
          <w:sz w:val="22"/>
          <w:szCs w:val="22"/>
          <w:lang w:val="en-GB"/>
        </w:rPr>
        <w:t xml:space="preserve"> </w:t>
      </w:r>
      <w:r w:rsidRPr="006B1156">
        <w:rPr>
          <w:rFonts w:ascii="Arial" w:hAnsi="Arial" w:cs="Arial"/>
          <w:sz w:val="22"/>
          <w:szCs w:val="22"/>
          <w:lang w:val="en-GB"/>
        </w:rPr>
        <w:t>understand and agree with each of the following statements:</w:t>
      </w:r>
    </w:p>
    <w:tbl>
      <w:tblPr>
        <w:tblStyle w:val="TableGrid"/>
        <w:tblW w:w="9639" w:type="dxa"/>
        <w:tblInd w:w="108" w:type="dxa"/>
        <w:tblLook w:val="04A0" w:firstRow="1" w:lastRow="0" w:firstColumn="1" w:lastColumn="0" w:noHBand="0" w:noVBand="1"/>
      </w:tblPr>
      <w:tblGrid>
        <w:gridCol w:w="8789"/>
        <w:gridCol w:w="850"/>
      </w:tblGrid>
      <w:tr w:rsidR="008C6BF6" w:rsidRPr="006B1156" w14:paraId="15DA4168" w14:textId="77777777" w:rsidTr="006C15ED">
        <w:trPr>
          <w:trHeight w:val="636"/>
        </w:trPr>
        <w:tc>
          <w:tcPr>
            <w:tcW w:w="8789" w:type="dxa"/>
            <w:vAlign w:val="center"/>
          </w:tcPr>
          <w:p w14:paraId="131A4EFC" w14:textId="33D0C439" w:rsidR="008C6BF6" w:rsidRPr="006B1156" w:rsidRDefault="008C6BF6" w:rsidP="00BD7DAE">
            <w:pPr>
              <w:pStyle w:val="ListNumber"/>
              <w:numPr>
                <w:ilvl w:val="0"/>
                <w:numId w:val="3"/>
              </w:numP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I</w:t>
            </w:r>
            <w:r w:rsidR="00BD7DAE">
              <w:rPr>
                <w:rFonts w:ascii="Arial" w:hAnsi="Arial" w:cs="Arial"/>
                <w:color w:val="000000" w:themeColor="text1"/>
                <w:sz w:val="22"/>
                <w:szCs w:val="22"/>
              </w:rPr>
              <w:t>/</w:t>
            </w:r>
            <w:r w:rsidR="00BD7DAE" w:rsidRPr="00122625">
              <w:rPr>
                <w:rFonts w:ascii="Arial" w:hAnsi="Arial" w:cs="Arial"/>
                <w:color w:val="2F759E"/>
                <w:sz w:val="22"/>
                <w:szCs w:val="22"/>
              </w:rPr>
              <w:t>we</w:t>
            </w:r>
            <w:r w:rsidRPr="00122625">
              <w:rPr>
                <w:rFonts w:ascii="Arial" w:hAnsi="Arial" w:cs="Arial"/>
                <w:color w:val="2F759E"/>
                <w:sz w:val="22"/>
                <w:szCs w:val="22"/>
              </w:rPr>
              <w:t xml:space="preserve"> </w:t>
            </w:r>
            <w:r w:rsidRPr="006B1156">
              <w:rPr>
                <w:rFonts w:ascii="Arial" w:hAnsi="Arial" w:cs="Arial"/>
                <w:color w:val="000000" w:themeColor="text1"/>
                <w:sz w:val="22"/>
                <w:szCs w:val="22"/>
              </w:rPr>
              <w:t xml:space="preserve">have read and understood the information leaflet </w:t>
            </w:r>
            <w:r w:rsidRPr="006B1156">
              <w:rPr>
                <w:rStyle w:val="FootnoteReference"/>
                <w:rFonts w:ascii="Arial" w:hAnsi="Arial" w:cs="Arial"/>
                <w:color w:val="000000" w:themeColor="text1"/>
                <w:sz w:val="22"/>
                <w:szCs w:val="22"/>
              </w:rPr>
              <w:t xml:space="preserve"> </w:t>
            </w:r>
            <w:r w:rsidRPr="006B1156">
              <w:rPr>
                <w:rFonts w:ascii="Arial" w:hAnsi="Arial" w:cs="Arial"/>
                <w:color w:val="000000" w:themeColor="text1"/>
                <w:sz w:val="22"/>
                <w:szCs w:val="22"/>
              </w:rPr>
              <w:t>provided by the practice</w:t>
            </w:r>
            <w:r w:rsidR="00375D0B">
              <w:rPr>
                <w:rFonts w:ascii="Arial" w:hAnsi="Arial" w:cs="Arial"/>
                <w:color w:val="000000" w:themeColor="text1"/>
                <w:sz w:val="22"/>
                <w:szCs w:val="22"/>
              </w:rPr>
              <w:t xml:space="preserve"> and agree that I will treat the patient information as confidential</w:t>
            </w:r>
          </w:p>
        </w:tc>
        <w:tc>
          <w:tcPr>
            <w:tcW w:w="850" w:type="dxa"/>
          </w:tcPr>
          <w:p w14:paraId="7354C36E"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14:paraId="26EE3F4C" w14:textId="77777777" w:rsidTr="006C15ED">
        <w:trPr>
          <w:trHeight w:val="405"/>
        </w:trPr>
        <w:tc>
          <w:tcPr>
            <w:tcW w:w="8789" w:type="dxa"/>
            <w:vAlign w:val="center"/>
          </w:tcPr>
          <w:p w14:paraId="710C02BA" w14:textId="77777777" w:rsidR="008C6BF6" w:rsidRPr="006B1156" w:rsidRDefault="008C6BF6" w:rsidP="00BD7DAE">
            <w:pPr>
              <w:pStyle w:val="ListNumbe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I</w:t>
            </w:r>
            <w:r w:rsidR="00BD7DAE">
              <w:rPr>
                <w:rFonts w:ascii="Arial" w:hAnsi="Arial" w:cs="Arial"/>
                <w:color w:val="000000" w:themeColor="text1"/>
                <w:sz w:val="22"/>
                <w:szCs w:val="22"/>
              </w:rPr>
              <w:t>/</w:t>
            </w:r>
            <w:r w:rsidR="00BD7DAE" w:rsidRPr="00122625">
              <w:rPr>
                <w:rFonts w:ascii="Arial" w:hAnsi="Arial" w:cs="Arial"/>
                <w:color w:val="2F759E"/>
                <w:sz w:val="22"/>
                <w:szCs w:val="22"/>
              </w:rPr>
              <w:t>we</w:t>
            </w:r>
            <w:r w:rsidRPr="00122625">
              <w:rPr>
                <w:rFonts w:ascii="Arial" w:hAnsi="Arial" w:cs="Arial"/>
                <w:color w:val="2F759E"/>
                <w:sz w:val="22"/>
                <w:szCs w:val="22"/>
              </w:rPr>
              <w:t xml:space="preserve"> </w:t>
            </w:r>
            <w:r w:rsidRPr="006B1156">
              <w:rPr>
                <w:rFonts w:ascii="Arial" w:hAnsi="Arial" w:cs="Arial"/>
                <w:color w:val="000000" w:themeColor="text1"/>
                <w:sz w:val="22"/>
                <w:szCs w:val="22"/>
              </w:rPr>
              <w:t>will be responsible for the security of the information that I</w:t>
            </w:r>
            <w:r w:rsidR="00BD7DAE">
              <w:rPr>
                <w:rFonts w:ascii="Arial" w:hAnsi="Arial" w:cs="Arial"/>
                <w:color w:val="000000" w:themeColor="text1"/>
                <w:sz w:val="22"/>
                <w:szCs w:val="22"/>
              </w:rPr>
              <w:t>/we</w:t>
            </w:r>
            <w:r w:rsidRPr="006B1156">
              <w:rPr>
                <w:rFonts w:ascii="Arial" w:hAnsi="Arial" w:cs="Arial"/>
                <w:color w:val="000000" w:themeColor="text1"/>
                <w:sz w:val="22"/>
                <w:szCs w:val="22"/>
              </w:rPr>
              <w:t xml:space="preserve"> see or download</w:t>
            </w:r>
          </w:p>
        </w:tc>
        <w:tc>
          <w:tcPr>
            <w:tcW w:w="850" w:type="dxa"/>
          </w:tcPr>
          <w:p w14:paraId="74D19280"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14:paraId="71FEF2D9" w14:textId="77777777" w:rsidTr="006C15ED">
        <w:trPr>
          <w:trHeight w:val="566"/>
        </w:trPr>
        <w:tc>
          <w:tcPr>
            <w:tcW w:w="8789" w:type="dxa"/>
            <w:vAlign w:val="center"/>
          </w:tcPr>
          <w:p w14:paraId="1CFF17C2" w14:textId="77777777" w:rsidR="008C6BF6" w:rsidRPr="006B1156" w:rsidRDefault="008C6BF6" w:rsidP="00BD7DAE">
            <w:pPr>
              <w:pStyle w:val="ListNumber"/>
              <w:spacing w:before="0" w:after="0"/>
              <w:ind w:left="459"/>
              <w:rPr>
                <w:rFonts w:ascii="Arial" w:hAnsi="Arial" w:cs="Arial"/>
                <w:sz w:val="22"/>
                <w:szCs w:val="22"/>
              </w:rPr>
            </w:pPr>
            <w:r w:rsidRPr="006B1156">
              <w:rPr>
                <w:rFonts w:ascii="Arial" w:hAnsi="Arial" w:cs="Arial"/>
                <w:color w:val="000000" w:themeColor="text1"/>
                <w:sz w:val="22"/>
                <w:szCs w:val="22"/>
              </w:rPr>
              <w:t>I</w:t>
            </w:r>
            <w:r w:rsidR="00BD7DAE">
              <w:rPr>
                <w:rFonts w:ascii="Arial" w:hAnsi="Arial" w:cs="Arial"/>
                <w:color w:val="000000" w:themeColor="text1"/>
                <w:sz w:val="22"/>
                <w:szCs w:val="22"/>
              </w:rPr>
              <w:t>/</w:t>
            </w:r>
            <w:r w:rsidR="00BD7DAE" w:rsidRPr="00122625">
              <w:rPr>
                <w:rFonts w:ascii="Arial" w:hAnsi="Arial" w:cs="Arial"/>
                <w:color w:val="2F759E"/>
                <w:sz w:val="22"/>
                <w:szCs w:val="22"/>
              </w:rPr>
              <w:t>we</w:t>
            </w:r>
            <w:r w:rsidRPr="006B1156">
              <w:rPr>
                <w:rFonts w:ascii="Arial" w:hAnsi="Arial" w:cs="Arial"/>
                <w:color w:val="000000" w:themeColor="text1"/>
                <w:sz w:val="22"/>
                <w:szCs w:val="22"/>
              </w:rPr>
              <w:t xml:space="preserve"> will contact the practice as soon as possible if I</w:t>
            </w:r>
            <w:r w:rsidR="00BD7DAE">
              <w:rPr>
                <w:rFonts w:ascii="Arial" w:hAnsi="Arial" w:cs="Arial"/>
                <w:color w:val="000000" w:themeColor="text1"/>
                <w:sz w:val="22"/>
                <w:szCs w:val="22"/>
              </w:rPr>
              <w:t>/</w:t>
            </w:r>
            <w:r w:rsidR="00BD7DAE" w:rsidRPr="00122625">
              <w:rPr>
                <w:rFonts w:ascii="Arial" w:hAnsi="Arial" w:cs="Arial"/>
                <w:color w:val="2F759E"/>
                <w:sz w:val="22"/>
                <w:szCs w:val="22"/>
              </w:rPr>
              <w:t>we</w:t>
            </w:r>
            <w:r w:rsidRPr="006B1156">
              <w:rPr>
                <w:rFonts w:ascii="Arial" w:hAnsi="Arial" w:cs="Arial"/>
                <w:color w:val="000000" w:themeColor="text1"/>
                <w:sz w:val="22"/>
                <w:szCs w:val="22"/>
              </w:rPr>
              <w:t xml:space="preserve"> suspect that the account has been accessed by someone without my/our agreement</w:t>
            </w:r>
          </w:p>
        </w:tc>
        <w:tc>
          <w:tcPr>
            <w:tcW w:w="850" w:type="dxa"/>
          </w:tcPr>
          <w:p w14:paraId="013F3C75"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8C6BF6" w:rsidRPr="006B1156" w14:paraId="05EFCE69" w14:textId="77777777" w:rsidTr="006C15ED">
        <w:trPr>
          <w:trHeight w:val="844"/>
        </w:trPr>
        <w:tc>
          <w:tcPr>
            <w:tcW w:w="8789" w:type="dxa"/>
            <w:vAlign w:val="center"/>
          </w:tcPr>
          <w:p w14:paraId="5CB75E53" w14:textId="55C50FEB" w:rsidR="008C6BF6" w:rsidRPr="006B1156" w:rsidRDefault="008C6BF6" w:rsidP="00BD7DAE">
            <w:pPr>
              <w:pStyle w:val="ListNumber"/>
              <w:spacing w:before="0" w:after="0"/>
              <w:ind w:left="459"/>
              <w:rPr>
                <w:rFonts w:ascii="Arial" w:hAnsi="Arial" w:cs="Arial"/>
                <w:color w:val="000000" w:themeColor="text1"/>
                <w:sz w:val="22"/>
                <w:szCs w:val="22"/>
              </w:rPr>
            </w:pPr>
            <w:r w:rsidRPr="006B1156">
              <w:rPr>
                <w:rFonts w:ascii="Arial" w:hAnsi="Arial" w:cs="Arial"/>
                <w:color w:val="000000" w:themeColor="text1"/>
                <w:sz w:val="22"/>
                <w:szCs w:val="22"/>
              </w:rPr>
              <w:t>If I</w:t>
            </w:r>
            <w:r w:rsidR="00BD7DAE">
              <w:rPr>
                <w:rFonts w:ascii="Arial" w:hAnsi="Arial" w:cs="Arial"/>
                <w:color w:val="000000" w:themeColor="text1"/>
                <w:sz w:val="22"/>
                <w:szCs w:val="22"/>
              </w:rPr>
              <w:t>/</w:t>
            </w:r>
            <w:r w:rsidR="00BD7DAE" w:rsidRPr="00122625">
              <w:rPr>
                <w:rFonts w:ascii="Arial" w:hAnsi="Arial" w:cs="Arial"/>
                <w:color w:val="2F759E"/>
                <w:sz w:val="22"/>
                <w:szCs w:val="22"/>
              </w:rPr>
              <w:t>we</w:t>
            </w:r>
            <w:r w:rsidRPr="006B1156">
              <w:rPr>
                <w:rFonts w:ascii="Arial" w:hAnsi="Arial" w:cs="Arial"/>
                <w:color w:val="000000" w:themeColor="text1"/>
                <w:sz w:val="22"/>
                <w:szCs w:val="22"/>
              </w:rPr>
              <w:t xml:space="preserve"> see information in the record that is not about the patient, or is inaccurate, I</w:t>
            </w:r>
            <w:r w:rsidR="00BD7DAE">
              <w:rPr>
                <w:rFonts w:ascii="Arial" w:hAnsi="Arial" w:cs="Arial"/>
                <w:color w:val="000000" w:themeColor="text1"/>
                <w:sz w:val="22"/>
                <w:szCs w:val="22"/>
              </w:rPr>
              <w:t>/</w:t>
            </w:r>
            <w:r w:rsidR="00BD7DAE" w:rsidRPr="00122625">
              <w:rPr>
                <w:rFonts w:ascii="Arial" w:hAnsi="Arial" w:cs="Arial"/>
                <w:color w:val="2F759E"/>
                <w:sz w:val="22"/>
                <w:szCs w:val="22"/>
              </w:rPr>
              <w:t>we</w:t>
            </w:r>
            <w:r w:rsidRPr="006B1156">
              <w:rPr>
                <w:rFonts w:ascii="Arial" w:hAnsi="Arial" w:cs="Arial"/>
                <w:color w:val="000000" w:themeColor="text1"/>
                <w:sz w:val="22"/>
                <w:szCs w:val="22"/>
              </w:rPr>
              <w:t xml:space="preserve"> will contact the practice as soon as possible</w:t>
            </w:r>
            <w:r w:rsidR="00375D0B">
              <w:rPr>
                <w:rFonts w:ascii="Arial" w:hAnsi="Arial" w:cs="Arial"/>
                <w:color w:val="000000" w:themeColor="text1"/>
                <w:sz w:val="22"/>
                <w:szCs w:val="22"/>
              </w:rPr>
              <w:t>.  I will treat any information which is not about the patient as being strictly confidential</w:t>
            </w:r>
          </w:p>
        </w:tc>
        <w:tc>
          <w:tcPr>
            <w:tcW w:w="850" w:type="dxa"/>
          </w:tcPr>
          <w:p w14:paraId="01AA8653" w14:textId="77777777" w:rsidR="008C6BF6" w:rsidRPr="006B1156" w:rsidRDefault="008C6BF6" w:rsidP="003362F6">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bl>
    <w:p w14:paraId="5BCE44B9" w14:textId="77777777" w:rsidR="008C6BF6" w:rsidRPr="006B1156" w:rsidRDefault="008C6BF6" w:rsidP="006C15ED">
      <w:pPr>
        <w:spacing w:after="120"/>
        <w:rPr>
          <w:rFonts w:ascii="Arial" w:hAnsi="Arial" w:cs="Arial"/>
          <w:color w:val="000000" w:themeColor="text1"/>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C20EAC" w:rsidRPr="006B1156" w14:paraId="26B92885" w14:textId="77777777" w:rsidTr="006C15ED">
        <w:trPr>
          <w:trHeight w:val="773"/>
        </w:trPr>
        <w:tc>
          <w:tcPr>
            <w:tcW w:w="7655" w:type="dxa"/>
          </w:tcPr>
          <w:p w14:paraId="132F4EFB" w14:textId="6A66198E" w:rsidR="00C20EAC" w:rsidRPr="006B1156" w:rsidRDefault="00C20EAC" w:rsidP="00122625">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Signature</w:t>
            </w:r>
            <w:r w:rsidR="00122625">
              <w:rPr>
                <w:rFonts w:ascii="Arial" w:hAnsi="Arial" w:cs="Arial"/>
                <w:color w:val="000000" w:themeColor="text1"/>
                <w:sz w:val="22"/>
                <w:szCs w:val="22"/>
                <w:lang w:val="en-GB"/>
              </w:rPr>
              <w:t>/</w:t>
            </w:r>
            <w:r w:rsidR="00122625" w:rsidRPr="00122625">
              <w:rPr>
                <w:rFonts w:ascii="Arial" w:hAnsi="Arial" w:cs="Arial"/>
                <w:color w:val="2F759E"/>
                <w:sz w:val="22"/>
                <w:szCs w:val="22"/>
                <w:lang w:val="en-GB"/>
              </w:rPr>
              <w:t>s</w:t>
            </w:r>
            <w:r w:rsidRPr="006B1156">
              <w:rPr>
                <w:rFonts w:ascii="Arial" w:hAnsi="Arial" w:cs="Arial"/>
                <w:color w:val="000000" w:themeColor="text1"/>
                <w:sz w:val="22"/>
                <w:szCs w:val="22"/>
                <w:lang w:val="en-GB"/>
              </w:rPr>
              <w:t xml:space="preserve"> of representative</w:t>
            </w:r>
            <w:r w:rsidR="00122625">
              <w:rPr>
                <w:rFonts w:ascii="Arial" w:hAnsi="Arial" w:cs="Arial"/>
                <w:color w:val="000000" w:themeColor="text1"/>
                <w:sz w:val="22"/>
                <w:szCs w:val="22"/>
                <w:lang w:val="en-GB"/>
              </w:rPr>
              <w:t>/</w:t>
            </w:r>
            <w:r w:rsidR="00122625">
              <w:rPr>
                <w:rFonts w:ascii="Arial" w:hAnsi="Arial" w:cs="Arial"/>
                <w:color w:val="2F759E"/>
                <w:sz w:val="22"/>
                <w:szCs w:val="22"/>
                <w:lang w:val="en-GB"/>
              </w:rPr>
              <w:t>s</w:t>
            </w:r>
          </w:p>
        </w:tc>
        <w:tc>
          <w:tcPr>
            <w:tcW w:w="1984" w:type="dxa"/>
          </w:tcPr>
          <w:p w14:paraId="18F5BF50" w14:textId="09A6482B" w:rsidR="00C20EAC" w:rsidRPr="006B1156" w:rsidRDefault="00C20EAC" w:rsidP="003362F6">
            <w:pPr>
              <w:pStyle w:val="BodyText"/>
              <w:spacing w:after="0" w:line="240" w:lineRule="auto"/>
              <w:rPr>
                <w:rFonts w:ascii="Arial" w:hAnsi="Arial" w:cs="Arial"/>
                <w:color w:val="000000" w:themeColor="text1"/>
                <w:sz w:val="22"/>
                <w:szCs w:val="22"/>
                <w:lang w:val="en-GB"/>
              </w:rPr>
            </w:pPr>
            <w:r w:rsidRPr="006B1156">
              <w:rPr>
                <w:rFonts w:ascii="Arial" w:hAnsi="Arial" w:cs="Arial"/>
                <w:color w:val="000000" w:themeColor="text1"/>
                <w:sz w:val="22"/>
                <w:szCs w:val="22"/>
                <w:lang w:val="en-GB"/>
              </w:rPr>
              <w:t>Date</w:t>
            </w:r>
            <w:r w:rsidR="00122625">
              <w:rPr>
                <w:rFonts w:ascii="Arial" w:hAnsi="Arial" w:cs="Arial"/>
                <w:color w:val="000000" w:themeColor="text1"/>
                <w:sz w:val="22"/>
                <w:szCs w:val="22"/>
                <w:lang w:val="en-GB"/>
              </w:rPr>
              <w:t>/</w:t>
            </w:r>
            <w:r w:rsidR="00122625" w:rsidRPr="00122625">
              <w:rPr>
                <w:rFonts w:ascii="Arial" w:hAnsi="Arial" w:cs="Arial"/>
                <w:color w:val="2F759E"/>
                <w:sz w:val="22"/>
                <w:szCs w:val="22"/>
                <w:lang w:val="en-GB"/>
              </w:rPr>
              <w:t>s</w:t>
            </w:r>
          </w:p>
        </w:tc>
      </w:tr>
    </w:tbl>
    <w:p w14:paraId="360C2AE9" w14:textId="4461738E" w:rsidR="00E37759" w:rsidRPr="006C15ED" w:rsidRDefault="006C15ED" w:rsidP="006C15ED">
      <w:pPr>
        <w:spacing w:after="120"/>
        <w:rPr>
          <w:rFonts w:ascii="Arial" w:hAnsi="Arial" w:cs="Arial"/>
          <w:b/>
          <w:bCs/>
          <w:color w:val="2F759E"/>
          <w:sz w:val="28"/>
          <w:szCs w:val="28"/>
          <w:lang w:val="en-GB" w:eastAsia="en-GB"/>
        </w:rPr>
      </w:pPr>
      <w:r w:rsidRPr="006C15ED">
        <w:rPr>
          <w:rFonts w:ascii="Arial" w:hAnsi="Arial" w:cs="Arial"/>
          <w:b/>
          <w:bCs/>
          <w:color w:val="2F759E"/>
          <w:sz w:val="28"/>
          <w:szCs w:val="28"/>
          <w:lang w:val="en-GB" w:eastAsia="en-GB"/>
        </w:rPr>
        <w:lastRenderedPageBreak/>
        <w:t>Section 4</w:t>
      </w:r>
    </w:p>
    <w:p w14:paraId="22B19191" w14:textId="77777777" w:rsidR="00C20EAC" w:rsidRPr="006C15ED" w:rsidRDefault="002A3CF8" w:rsidP="00122625">
      <w:pPr>
        <w:rPr>
          <w:rFonts w:ascii="Arial" w:hAnsi="Arial" w:cs="Arial"/>
          <w:b/>
          <w:bCs/>
          <w:color w:val="2F759E"/>
          <w:szCs w:val="28"/>
          <w:lang w:val="en-GB" w:eastAsia="en-GB"/>
        </w:rPr>
      </w:pPr>
      <w:r w:rsidRPr="006C15ED">
        <w:rPr>
          <w:rFonts w:ascii="Arial" w:hAnsi="Arial" w:cs="Arial"/>
          <w:b/>
          <w:bCs/>
          <w:color w:val="2F759E"/>
          <w:szCs w:val="28"/>
          <w:lang w:val="en-GB" w:eastAsia="en-GB"/>
        </w:rPr>
        <w:t xml:space="preserve">The patient </w:t>
      </w:r>
    </w:p>
    <w:p w14:paraId="112A3BF9" w14:textId="77777777" w:rsidR="002A3CF8" w:rsidRPr="006B1156" w:rsidRDefault="00925D78" w:rsidP="00122625">
      <w:pPr>
        <w:spacing w:after="120"/>
        <w:rPr>
          <w:rFonts w:ascii="Arial" w:hAnsi="Arial" w:cs="Arial"/>
          <w:color w:val="000000" w:themeColor="text1"/>
          <w:sz w:val="22"/>
          <w:szCs w:val="22"/>
          <w:lang w:val="en-GB"/>
        </w:rPr>
      </w:pPr>
      <w:r w:rsidRPr="006B1156">
        <w:rPr>
          <w:rFonts w:ascii="Arial" w:hAnsi="Arial" w:cs="Arial"/>
          <w:color w:val="000000" w:themeColor="text1"/>
          <w:sz w:val="22"/>
          <w:szCs w:val="22"/>
          <w:lang w:val="en-GB" w:eastAsia="en-GB"/>
        </w:rPr>
        <w:t>(</w:t>
      </w:r>
      <w:r w:rsidR="002A3CF8" w:rsidRPr="006B1156">
        <w:rPr>
          <w:rFonts w:ascii="Arial" w:hAnsi="Arial" w:cs="Arial"/>
          <w:color w:val="000000" w:themeColor="text1"/>
          <w:sz w:val="22"/>
          <w:szCs w:val="22"/>
          <w:lang w:val="en-GB" w:eastAsia="en-GB"/>
        </w:rPr>
        <w:t xml:space="preserve">This is the person </w:t>
      </w:r>
      <w:r w:rsidR="00D24AF4" w:rsidRPr="006B1156">
        <w:rPr>
          <w:rFonts w:ascii="Arial" w:hAnsi="Arial" w:cs="Arial"/>
          <w:color w:val="000000" w:themeColor="text1"/>
          <w:sz w:val="22"/>
          <w:szCs w:val="22"/>
          <w:lang w:val="en-GB" w:eastAsia="en-GB"/>
        </w:rPr>
        <w:t>whose records are being accessed</w:t>
      </w:r>
      <w:r w:rsidRPr="006B1156">
        <w:rPr>
          <w:rFonts w:ascii="Arial" w:hAnsi="Arial" w:cs="Arial"/>
          <w:color w:val="000000" w:themeColor="text1"/>
          <w:sz w:val="22"/>
          <w:szCs w:val="22"/>
          <w:lang w:val="en-GB" w:eastAsia="en-GB"/>
        </w:rPr>
        <w:t>)</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E7594" w:rsidRPr="006B1156" w14:paraId="6AEC742C" w14:textId="77777777" w:rsidTr="00E12742">
        <w:trPr>
          <w:trHeight w:val="274"/>
        </w:trPr>
        <w:tc>
          <w:tcPr>
            <w:tcW w:w="4786" w:type="dxa"/>
          </w:tcPr>
          <w:p w14:paraId="1C4B8033"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Surname</w:t>
            </w:r>
          </w:p>
        </w:tc>
        <w:tc>
          <w:tcPr>
            <w:tcW w:w="4820" w:type="dxa"/>
          </w:tcPr>
          <w:p w14:paraId="1781D59C"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Date of birth</w:t>
            </w:r>
          </w:p>
        </w:tc>
      </w:tr>
      <w:tr w:rsidR="000E7594" w:rsidRPr="006B1156" w14:paraId="67C03534" w14:textId="77777777" w:rsidTr="00E12742">
        <w:tc>
          <w:tcPr>
            <w:tcW w:w="9606" w:type="dxa"/>
            <w:gridSpan w:val="2"/>
          </w:tcPr>
          <w:p w14:paraId="0C31A629"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First name</w:t>
            </w:r>
          </w:p>
        </w:tc>
      </w:tr>
      <w:tr w:rsidR="000E7594" w:rsidRPr="006B1156" w14:paraId="1EB869E4" w14:textId="77777777" w:rsidTr="00892496">
        <w:trPr>
          <w:trHeight w:val="1138"/>
        </w:trPr>
        <w:tc>
          <w:tcPr>
            <w:tcW w:w="9606" w:type="dxa"/>
            <w:gridSpan w:val="2"/>
          </w:tcPr>
          <w:p w14:paraId="6E5DB6D0" w14:textId="2B8FEA6A" w:rsidR="000E7594" w:rsidRPr="009C2779" w:rsidRDefault="000E7594" w:rsidP="00025DE5">
            <w:pPr>
              <w:pStyle w:val="BodyText"/>
              <w:spacing w:after="0" w:line="240" w:lineRule="auto"/>
              <w:rPr>
                <w:rFonts w:ascii="Arial" w:hAnsi="Arial" w:cs="Arial"/>
                <w:sz w:val="28"/>
                <w:szCs w:val="28"/>
                <w:lang w:val="en-GB"/>
              </w:rPr>
            </w:pPr>
            <w:r w:rsidRPr="006B1156">
              <w:rPr>
                <w:rFonts w:ascii="Arial" w:hAnsi="Arial" w:cs="Arial"/>
                <w:sz w:val="22"/>
                <w:szCs w:val="22"/>
                <w:lang w:val="en-GB"/>
              </w:rPr>
              <w:t>Address</w:t>
            </w:r>
            <w:r w:rsidRPr="009C2779">
              <w:rPr>
                <w:rFonts w:ascii="Arial" w:hAnsi="Arial" w:cs="Arial"/>
                <w:sz w:val="28"/>
                <w:szCs w:val="28"/>
                <w:lang w:val="en-GB"/>
              </w:rPr>
              <w:t xml:space="preserve"> </w:t>
            </w:r>
          </w:p>
          <w:p w14:paraId="1C3B3B9B" w14:textId="4B20BC66" w:rsidR="00BD25E5" w:rsidRPr="009C2779" w:rsidRDefault="00BD25E5" w:rsidP="002960EB">
            <w:pPr>
              <w:pStyle w:val="BodyText"/>
              <w:spacing w:after="0" w:line="240" w:lineRule="auto"/>
              <w:rPr>
                <w:rFonts w:ascii="Arial" w:hAnsi="Arial" w:cs="Arial"/>
                <w:sz w:val="28"/>
                <w:szCs w:val="28"/>
                <w:lang w:val="en-GB"/>
              </w:rPr>
            </w:pPr>
          </w:p>
          <w:p w14:paraId="276A6E78" w14:textId="77777777" w:rsidR="00BD25E5" w:rsidRPr="009C2779" w:rsidRDefault="00BD25E5" w:rsidP="003362F6">
            <w:pPr>
              <w:pStyle w:val="BodyText"/>
              <w:spacing w:after="0" w:line="240" w:lineRule="auto"/>
              <w:rPr>
                <w:rFonts w:ascii="Arial" w:hAnsi="Arial" w:cs="Arial"/>
                <w:sz w:val="28"/>
                <w:szCs w:val="28"/>
                <w:lang w:val="en-GB"/>
              </w:rPr>
            </w:pPr>
          </w:p>
          <w:p w14:paraId="391CBE2C" w14:textId="5A0DE125" w:rsidR="000E7594" w:rsidRPr="006B1156" w:rsidRDefault="00BD25E5" w:rsidP="00892496">
            <w:pPr>
              <w:pStyle w:val="BodyText"/>
              <w:spacing w:after="0" w:line="240" w:lineRule="auto"/>
              <w:rPr>
                <w:rFonts w:ascii="Arial" w:hAnsi="Arial" w:cs="Arial"/>
                <w:sz w:val="22"/>
                <w:szCs w:val="22"/>
                <w:lang w:val="en-GB"/>
              </w:rPr>
            </w:pPr>
            <w:r w:rsidRPr="006B1156">
              <w:rPr>
                <w:rFonts w:ascii="Arial" w:hAnsi="Arial" w:cs="Arial"/>
                <w:sz w:val="22"/>
                <w:szCs w:val="22"/>
                <w:lang w:val="en-GB"/>
              </w:rPr>
              <w:t xml:space="preserve">                                                                              </w:t>
            </w:r>
            <w:r w:rsidR="000E7594" w:rsidRPr="006B1156">
              <w:rPr>
                <w:rFonts w:ascii="Arial" w:hAnsi="Arial" w:cs="Arial"/>
                <w:sz w:val="22"/>
                <w:szCs w:val="22"/>
                <w:lang w:val="en-GB"/>
              </w:rPr>
              <w:t xml:space="preserve">Postcode          </w:t>
            </w:r>
          </w:p>
        </w:tc>
      </w:tr>
      <w:tr w:rsidR="000E7594" w:rsidRPr="006B1156" w14:paraId="0B6578E2" w14:textId="77777777" w:rsidTr="00E12742">
        <w:tc>
          <w:tcPr>
            <w:tcW w:w="9606" w:type="dxa"/>
            <w:gridSpan w:val="2"/>
          </w:tcPr>
          <w:p w14:paraId="23C30361"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Email address</w:t>
            </w:r>
          </w:p>
        </w:tc>
      </w:tr>
      <w:tr w:rsidR="000E7594" w:rsidRPr="006B1156" w14:paraId="303F3ABF" w14:textId="77777777" w:rsidTr="00E12742">
        <w:tc>
          <w:tcPr>
            <w:tcW w:w="4786" w:type="dxa"/>
          </w:tcPr>
          <w:p w14:paraId="4EDB2502"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Telephone number</w:t>
            </w:r>
          </w:p>
        </w:tc>
        <w:tc>
          <w:tcPr>
            <w:tcW w:w="4820" w:type="dxa"/>
          </w:tcPr>
          <w:p w14:paraId="48278C53"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Mobile number</w:t>
            </w:r>
          </w:p>
        </w:tc>
      </w:tr>
    </w:tbl>
    <w:p w14:paraId="04BD8F20" w14:textId="77777777" w:rsidR="002A3CF8" w:rsidRPr="006C15ED" w:rsidRDefault="002A3CF8" w:rsidP="006C15ED">
      <w:pPr>
        <w:spacing w:before="120"/>
        <w:rPr>
          <w:sz w:val="28"/>
          <w:szCs w:val="28"/>
          <w:lang w:val="en-GB"/>
        </w:rPr>
      </w:pPr>
    </w:p>
    <w:p w14:paraId="77287B04" w14:textId="77777777" w:rsidR="00C20EAC" w:rsidRPr="006C15ED" w:rsidRDefault="002A3CF8" w:rsidP="00C20EAC">
      <w:pPr>
        <w:spacing w:before="120"/>
        <w:rPr>
          <w:rFonts w:ascii="Arial" w:hAnsi="Arial" w:cs="Arial"/>
          <w:b/>
          <w:bCs/>
          <w:color w:val="2F759E"/>
          <w:szCs w:val="28"/>
          <w:lang w:val="en-GB" w:eastAsia="en-GB"/>
        </w:rPr>
      </w:pPr>
      <w:r w:rsidRPr="006C15ED">
        <w:rPr>
          <w:rFonts w:ascii="Arial" w:hAnsi="Arial" w:cs="Arial"/>
          <w:b/>
          <w:bCs/>
          <w:color w:val="2F759E"/>
          <w:szCs w:val="28"/>
          <w:lang w:val="en-GB" w:eastAsia="en-GB"/>
        </w:rPr>
        <w:t>The representative</w:t>
      </w:r>
      <w:r w:rsidR="007B564F" w:rsidRPr="006C15ED">
        <w:rPr>
          <w:rFonts w:ascii="Arial" w:hAnsi="Arial" w:cs="Arial"/>
          <w:b/>
          <w:bCs/>
          <w:color w:val="2F759E"/>
          <w:szCs w:val="28"/>
          <w:lang w:val="en-GB" w:eastAsia="en-GB"/>
        </w:rPr>
        <w:t>s</w:t>
      </w:r>
      <w:r w:rsidRPr="006C15ED">
        <w:rPr>
          <w:rFonts w:ascii="Arial" w:hAnsi="Arial" w:cs="Arial"/>
          <w:b/>
          <w:bCs/>
          <w:color w:val="2F759E"/>
          <w:szCs w:val="28"/>
          <w:lang w:val="en-GB" w:eastAsia="en-GB"/>
        </w:rPr>
        <w:t xml:space="preserve"> </w:t>
      </w:r>
    </w:p>
    <w:p w14:paraId="670431BA" w14:textId="77777777" w:rsidR="002A3CF8" w:rsidRPr="006B1156" w:rsidRDefault="00135F3B" w:rsidP="00C20EAC">
      <w:pPr>
        <w:spacing w:after="120"/>
        <w:rPr>
          <w:rFonts w:ascii="Arial" w:hAnsi="Arial" w:cs="Arial"/>
          <w:color w:val="000000" w:themeColor="text1"/>
          <w:sz w:val="22"/>
          <w:szCs w:val="22"/>
          <w:lang w:val="en-GB" w:eastAsia="en-GB"/>
        </w:rPr>
      </w:pPr>
      <w:r w:rsidRPr="006B1156">
        <w:rPr>
          <w:rFonts w:ascii="Arial" w:hAnsi="Arial" w:cs="Arial"/>
          <w:color w:val="000000" w:themeColor="text1"/>
          <w:sz w:val="22"/>
          <w:szCs w:val="22"/>
          <w:lang w:val="en-GB" w:eastAsia="en-GB"/>
        </w:rPr>
        <w:t>(</w:t>
      </w:r>
      <w:r w:rsidR="007B564F">
        <w:rPr>
          <w:rFonts w:ascii="Arial" w:hAnsi="Arial" w:cs="Arial"/>
          <w:color w:val="000000" w:themeColor="text1"/>
          <w:sz w:val="22"/>
          <w:szCs w:val="22"/>
          <w:lang w:val="en-GB" w:eastAsia="en-GB"/>
        </w:rPr>
        <w:t>These are</w:t>
      </w:r>
      <w:r w:rsidR="002A3CF8" w:rsidRPr="006B1156">
        <w:rPr>
          <w:rFonts w:ascii="Arial" w:hAnsi="Arial" w:cs="Arial"/>
          <w:color w:val="000000" w:themeColor="text1"/>
          <w:sz w:val="22"/>
          <w:szCs w:val="22"/>
          <w:lang w:val="en-GB" w:eastAsia="en-GB"/>
        </w:rPr>
        <w:t xml:space="preserve"> the </w:t>
      </w:r>
      <w:r w:rsidR="007B564F">
        <w:rPr>
          <w:rFonts w:ascii="Arial" w:hAnsi="Arial" w:cs="Arial"/>
          <w:color w:val="000000" w:themeColor="text1"/>
          <w:sz w:val="22"/>
          <w:szCs w:val="22"/>
          <w:lang w:val="en-GB" w:eastAsia="en-GB"/>
        </w:rPr>
        <w:t>people</w:t>
      </w:r>
      <w:r w:rsidR="002A3CF8" w:rsidRPr="006B1156">
        <w:rPr>
          <w:rFonts w:ascii="Arial" w:hAnsi="Arial" w:cs="Arial"/>
          <w:color w:val="000000" w:themeColor="text1"/>
          <w:sz w:val="22"/>
          <w:szCs w:val="22"/>
          <w:lang w:val="en-GB" w:eastAsia="en-GB"/>
        </w:rPr>
        <w:t xml:space="preserve"> seeking proxy access to the patient’s online records</w:t>
      </w:r>
      <w:r w:rsidR="00D24AF4" w:rsidRPr="006B1156">
        <w:rPr>
          <w:rFonts w:ascii="Arial" w:hAnsi="Arial" w:cs="Arial"/>
          <w:color w:val="000000" w:themeColor="text1"/>
          <w:sz w:val="22"/>
          <w:szCs w:val="22"/>
          <w:lang w:val="en-GB" w:eastAsia="en-GB"/>
        </w:rPr>
        <w:t>, appo</w:t>
      </w:r>
      <w:r w:rsidRPr="006B1156">
        <w:rPr>
          <w:rFonts w:ascii="Arial" w:hAnsi="Arial" w:cs="Arial"/>
          <w:color w:val="000000" w:themeColor="text1"/>
          <w:sz w:val="22"/>
          <w:szCs w:val="22"/>
          <w:lang w:val="en-GB" w:eastAsia="en-GB"/>
        </w:rPr>
        <w:t xml:space="preserve">intments </w:t>
      </w:r>
      <w:r w:rsidR="007B564F">
        <w:rPr>
          <w:rFonts w:ascii="Arial" w:hAnsi="Arial" w:cs="Arial"/>
          <w:color w:val="000000" w:themeColor="text1"/>
          <w:sz w:val="22"/>
          <w:szCs w:val="22"/>
          <w:lang w:val="en-GB" w:eastAsia="en-GB"/>
        </w:rPr>
        <w:t>or</w:t>
      </w:r>
      <w:r w:rsidRPr="006B1156">
        <w:rPr>
          <w:rFonts w:ascii="Arial" w:hAnsi="Arial" w:cs="Arial"/>
          <w:color w:val="000000" w:themeColor="text1"/>
          <w:sz w:val="22"/>
          <w:szCs w:val="22"/>
          <w:lang w:val="en-GB" w:eastAsia="en-GB"/>
        </w:rPr>
        <w:t xml:space="preserve"> repeat prescription</w:t>
      </w:r>
      <w:r w:rsidR="00E12742">
        <w:rPr>
          <w:rFonts w:ascii="Arial" w:hAnsi="Arial" w:cs="Arial"/>
          <w:color w:val="000000" w:themeColor="text1"/>
          <w:sz w:val="22"/>
          <w:szCs w:val="22"/>
          <w:lang w:val="en-GB" w:eastAsia="en-GB"/>
        </w:rPr>
        <w:t>.</w:t>
      </w:r>
      <w:r w:rsidRPr="006B1156">
        <w:rPr>
          <w:rFonts w:ascii="Arial" w:hAnsi="Arial" w:cs="Arial"/>
          <w:color w:val="000000" w:themeColor="text1"/>
          <w:sz w:val="22"/>
          <w:szCs w:val="22"/>
          <w:lang w:val="en-GB" w:eastAsia="en-GB"/>
        </w:rPr>
        <w:t xml:space="preserve">) </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E7594" w:rsidRPr="006B1156" w14:paraId="718C72B9" w14:textId="77777777" w:rsidTr="007B564F">
        <w:trPr>
          <w:trHeight w:val="274"/>
        </w:trPr>
        <w:tc>
          <w:tcPr>
            <w:tcW w:w="4786" w:type="dxa"/>
          </w:tcPr>
          <w:p w14:paraId="26F48E5B" w14:textId="77777777" w:rsidR="000E7594" w:rsidRPr="006B1156" w:rsidRDefault="000E7594"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Surname</w:t>
            </w:r>
          </w:p>
        </w:tc>
        <w:tc>
          <w:tcPr>
            <w:tcW w:w="4820" w:type="dxa"/>
          </w:tcPr>
          <w:p w14:paraId="0F05EE1C" w14:textId="77777777" w:rsidR="000E7594"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Surname</w:t>
            </w:r>
          </w:p>
        </w:tc>
      </w:tr>
      <w:tr w:rsidR="007B564F" w:rsidRPr="006B1156" w14:paraId="7F2CF408" w14:textId="77777777" w:rsidTr="007B564F">
        <w:tc>
          <w:tcPr>
            <w:tcW w:w="4786" w:type="dxa"/>
          </w:tcPr>
          <w:p w14:paraId="341A1925" w14:textId="77777777" w:rsidR="007B564F" w:rsidRPr="006B1156" w:rsidRDefault="007B564F"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First name</w:t>
            </w:r>
          </w:p>
        </w:tc>
        <w:tc>
          <w:tcPr>
            <w:tcW w:w="4820" w:type="dxa"/>
          </w:tcPr>
          <w:p w14:paraId="684376AF"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First name</w:t>
            </w:r>
          </w:p>
        </w:tc>
      </w:tr>
      <w:tr w:rsidR="007B564F" w:rsidRPr="006B1156" w14:paraId="547899B6" w14:textId="77777777" w:rsidTr="007B564F">
        <w:tc>
          <w:tcPr>
            <w:tcW w:w="4786" w:type="dxa"/>
          </w:tcPr>
          <w:p w14:paraId="7A9ADCA6"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Date of birth</w:t>
            </w:r>
          </w:p>
        </w:tc>
        <w:tc>
          <w:tcPr>
            <w:tcW w:w="4820" w:type="dxa"/>
          </w:tcPr>
          <w:p w14:paraId="220FD55A"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Date of birth</w:t>
            </w:r>
          </w:p>
        </w:tc>
      </w:tr>
      <w:tr w:rsidR="007B564F" w:rsidRPr="006B1156" w14:paraId="0803228B" w14:textId="77777777" w:rsidTr="009C2779">
        <w:trPr>
          <w:trHeight w:val="1454"/>
        </w:trPr>
        <w:tc>
          <w:tcPr>
            <w:tcW w:w="4786" w:type="dxa"/>
          </w:tcPr>
          <w:p w14:paraId="31ADC7EA" w14:textId="77777777" w:rsidR="007B564F" w:rsidRPr="006B1156" w:rsidRDefault="007B564F" w:rsidP="003362F6">
            <w:pPr>
              <w:pStyle w:val="BodyText"/>
              <w:spacing w:after="0" w:line="240" w:lineRule="auto"/>
              <w:rPr>
                <w:rFonts w:ascii="Arial" w:hAnsi="Arial" w:cs="Arial"/>
                <w:sz w:val="22"/>
                <w:szCs w:val="22"/>
                <w:lang w:val="en-GB"/>
              </w:rPr>
            </w:pPr>
            <w:r w:rsidRPr="006B1156">
              <w:rPr>
                <w:rFonts w:ascii="Arial" w:hAnsi="Arial" w:cs="Arial"/>
                <w:sz w:val="22"/>
                <w:szCs w:val="22"/>
                <w:lang w:val="en-GB"/>
              </w:rPr>
              <w:t>Address</w:t>
            </w:r>
          </w:p>
          <w:p w14:paraId="72DB2BF4" w14:textId="77777777" w:rsidR="007B564F" w:rsidRPr="002960EB" w:rsidRDefault="007B564F" w:rsidP="003362F6">
            <w:pPr>
              <w:pStyle w:val="BodyText"/>
              <w:spacing w:after="0" w:line="240" w:lineRule="auto"/>
              <w:rPr>
                <w:rFonts w:ascii="Arial" w:hAnsi="Arial" w:cs="Arial"/>
                <w:sz w:val="28"/>
                <w:szCs w:val="28"/>
                <w:lang w:val="en-GB"/>
              </w:rPr>
            </w:pPr>
          </w:p>
          <w:p w14:paraId="5D322893" w14:textId="77777777" w:rsidR="007B564F" w:rsidRPr="002960EB" w:rsidRDefault="007B564F" w:rsidP="003362F6">
            <w:pPr>
              <w:pStyle w:val="BodyText"/>
              <w:spacing w:after="0" w:line="240" w:lineRule="auto"/>
              <w:rPr>
                <w:rFonts w:ascii="Arial" w:hAnsi="Arial" w:cs="Arial"/>
                <w:sz w:val="28"/>
                <w:szCs w:val="28"/>
                <w:lang w:val="en-GB"/>
              </w:rPr>
            </w:pPr>
          </w:p>
          <w:p w14:paraId="684B6FD5" w14:textId="77777777" w:rsidR="007B564F" w:rsidRPr="002960EB" w:rsidRDefault="007B564F" w:rsidP="003362F6">
            <w:pPr>
              <w:pStyle w:val="BodyText"/>
              <w:spacing w:after="0" w:line="240" w:lineRule="auto"/>
              <w:rPr>
                <w:rFonts w:ascii="Arial" w:hAnsi="Arial" w:cs="Arial"/>
                <w:sz w:val="28"/>
                <w:szCs w:val="28"/>
                <w:lang w:val="en-GB"/>
              </w:rPr>
            </w:pPr>
          </w:p>
          <w:p w14:paraId="310E35D1" w14:textId="77777777" w:rsidR="007B564F" w:rsidRPr="006B1156" w:rsidRDefault="007B564F" w:rsidP="002960EB">
            <w:pPr>
              <w:pStyle w:val="BodyText"/>
              <w:spacing w:after="0" w:line="240" w:lineRule="auto"/>
              <w:rPr>
                <w:rFonts w:ascii="Arial" w:hAnsi="Arial" w:cs="Arial"/>
                <w:sz w:val="22"/>
                <w:szCs w:val="22"/>
                <w:lang w:val="en-GB"/>
              </w:rPr>
            </w:pPr>
            <w:r>
              <w:rPr>
                <w:rFonts w:ascii="Arial" w:hAnsi="Arial" w:cs="Arial"/>
                <w:sz w:val="22"/>
                <w:szCs w:val="22"/>
                <w:lang w:val="en-GB"/>
              </w:rPr>
              <w:t>Postcode</w:t>
            </w:r>
            <w:r w:rsidRPr="006B1156">
              <w:rPr>
                <w:rFonts w:ascii="Arial" w:hAnsi="Arial" w:cs="Arial"/>
                <w:sz w:val="22"/>
                <w:szCs w:val="22"/>
                <w:lang w:val="en-GB"/>
              </w:rPr>
              <w:t xml:space="preserve"> </w:t>
            </w:r>
          </w:p>
        </w:tc>
        <w:tc>
          <w:tcPr>
            <w:tcW w:w="4820" w:type="dxa"/>
          </w:tcPr>
          <w:p w14:paraId="09335AEF"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Address</w:t>
            </w:r>
            <w:r w:rsidRPr="006B1156">
              <w:rPr>
                <w:rFonts w:ascii="Arial" w:hAnsi="Arial" w:cs="Arial"/>
                <w:sz w:val="22"/>
                <w:szCs w:val="22"/>
                <w:lang w:val="en-GB"/>
              </w:rPr>
              <w:t xml:space="preserve">     </w:t>
            </w:r>
            <w:r w:rsidR="002960EB">
              <w:rPr>
                <w:rFonts w:ascii="Arial" w:hAnsi="Arial" w:cs="Arial"/>
                <w:sz w:val="22"/>
                <w:szCs w:val="22"/>
                <w:lang w:val="en-GB"/>
              </w:rPr>
              <w:t xml:space="preserve">         </w:t>
            </w:r>
            <w:r w:rsidRPr="006B1156">
              <w:rPr>
                <w:rFonts w:ascii="Arial" w:hAnsi="Arial" w:cs="Arial"/>
                <w:sz w:val="22"/>
                <w:szCs w:val="22"/>
                <w:lang w:val="en-GB"/>
              </w:rPr>
              <w:t xml:space="preserve"> </w:t>
            </w:r>
            <w:r>
              <w:rPr>
                <w:rFonts w:ascii="Arial" w:hAnsi="Arial" w:cs="Arial"/>
                <w:sz w:val="22"/>
                <w:szCs w:val="22"/>
                <w:lang w:val="en-GB"/>
              </w:rPr>
              <w:t xml:space="preserve">(tick if both same address </w:t>
            </w:r>
            <w:r w:rsidRPr="00122625">
              <w:rPr>
                <w:rFonts w:ascii="Arial" w:hAnsi="Arial" w:cs="Arial"/>
                <w:iCs/>
                <w:color w:val="000000" w:themeColor="text1"/>
                <w:sz w:val="22"/>
                <w:szCs w:val="22"/>
              </w:rPr>
              <w:sym w:font="Wingdings" w:char="F06F"/>
            </w:r>
            <w:r w:rsidRPr="00122625">
              <w:rPr>
                <w:rFonts w:ascii="Arial" w:hAnsi="Arial" w:cs="Arial"/>
                <w:iCs/>
                <w:color w:val="000000" w:themeColor="text1"/>
                <w:sz w:val="22"/>
                <w:szCs w:val="22"/>
              </w:rPr>
              <w:t>)</w:t>
            </w:r>
          </w:p>
          <w:p w14:paraId="12344BA8" w14:textId="77777777" w:rsidR="007B564F" w:rsidRPr="002960EB" w:rsidRDefault="007B564F" w:rsidP="003362F6">
            <w:pPr>
              <w:pStyle w:val="BodyText"/>
              <w:spacing w:after="0" w:line="240" w:lineRule="auto"/>
              <w:rPr>
                <w:rFonts w:ascii="Arial" w:hAnsi="Arial" w:cs="Arial"/>
                <w:sz w:val="28"/>
                <w:szCs w:val="28"/>
                <w:lang w:val="en-GB"/>
              </w:rPr>
            </w:pPr>
          </w:p>
          <w:p w14:paraId="7B4734C9" w14:textId="77777777" w:rsidR="007B564F" w:rsidRPr="002960EB" w:rsidRDefault="007B564F" w:rsidP="003362F6">
            <w:pPr>
              <w:pStyle w:val="BodyText"/>
              <w:spacing w:after="0" w:line="240" w:lineRule="auto"/>
              <w:rPr>
                <w:rFonts w:ascii="Arial" w:hAnsi="Arial" w:cs="Arial"/>
                <w:sz w:val="28"/>
                <w:szCs w:val="28"/>
                <w:lang w:val="en-GB"/>
              </w:rPr>
            </w:pPr>
          </w:p>
          <w:p w14:paraId="75C0EB2B" w14:textId="77777777" w:rsidR="007B564F" w:rsidRPr="002960EB" w:rsidRDefault="007B564F" w:rsidP="003362F6">
            <w:pPr>
              <w:pStyle w:val="BodyText"/>
              <w:spacing w:after="0" w:line="240" w:lineRule="auto"/>
              <w:rPr>
                <w:rFonts w:ascii="Arial" w:hAnsi="Arial" w:cs="Arial"/>
                <w:sz w:val="28"/>
                <w:szCs w:val="28"/>
                <w:lang w:val="en-GB"/>
              </w:rPr>
            </w:pPr>
          </w:p>
          <w:p w14:paraId="050ABD0C" w14:textId="77777777" w:rsidR="007B564F" w:rsidRPr="006B1156" w:rsidRDefault="002960EB" w:rsidP="003362F6">
            <w:pPr>
              <w:pStyle w:val="BodyText"/>
              <w:spacing w:after="0" w:line="240" w:lineRule="auto"/>
              <w:rPr>
                <w:rFonts w:ascii="Arial" w:hAnsi="Arial" w:cs="Arial"/>
                <w:sz w:val="22"/>
                <w:szCs w:val="22"/>
                <w:lang w:val="en-GB"/>
              </w:rPr>
            </w:pPr>
            <w:r>
              <w:rPr>
                <w:rFonts w:ascii="Arial" w:hAnsi="Arial" w:cs="Arial"/>
                <w:sz w:val="22"/>
                <w:szCs w:val="22"/>
                <w:lang w:val="en-GB"/>
              </w:rPr>
              <w:t>Postcode</w:t>
            </w:r>
          </w:p>
        </w:tc>
      </w:tr>
      <w:tr w:rsidR="007B564F" w:rsidRPr="006B1156" w14:paraId="117BE6D3" w14:textId="77777777" w:rsidTr="007B564F">
        <w:tc>
          <w:tcPr>
            <w:tcW w:w="4786" w:type="dxa"/>
          </w:tcPr>
          <w:p w14:paraId="7B50F646"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Email</w:t>
            </w:r>
          </w:p>
        </w:tc>
        <w:tc>
          <w:tcPr>
            <w:tcW w:w="4820" w:type="dxa"/>
          </w:tcPr>
          <w:p w14:paraId="6C04DC14"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Email</w:t>
            </w:r>
          </w:p>
        </w:tc>
      </w:tr>
      <w:tr w:rsidR="000E7594" w:rsidRPr="006B1156" w14:paraId="53419243" w14:textId="77777777" w:rsidTr="007B564F">
        <w:tc>
          <w:tcPr>
            <w:tcW w:w="4786" w:type="dxa"/>
          </w:tcPr>
          <w:p w14:paraId="5952F45C" w14:textId="77777777" w:rsidR="000E7594"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Telephone</w:t>
            </w:r>
          </w:p>
        </w:tc>
        <w:tc>
          <w:tcPr>
            <w:tcW w:w="4820" w:type="dxa"/>
          </w:tcPr>
          <w:p w14:paraId="5E7540BE" w14:textId="77777777" w:rsidR="000E7594"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Telephone</w:t>
            </w:r>
          </w:p>
        </w:tc>
      </w:tr>
      <w:tr w:rsidR="007B564F" w:rsidRPr="006B1156" w14:paraId="7EF6404A" w14:textId="77777777" w:rsidTr="007B564F">
        <w:tc>
          <w:tcPr>
            <w:tcW w:w="4786" w:type="dxa"/>
          </w:tcPr>
          <w:p w14:paraId="1594FAFF"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Mobile</w:t>
            </w:r>
          </w:p>
        </w:tc>
        <w:tc>
          <w:tcPr>
            <w:tcW w:w="4820" w:type="dxa"/>
          </w:tcPr>
          <w:p w14:paraId="0F6DB645" w14:textId="77777777" w:rsidR="007B564F" w:rsidRPr="006B1156" w:rsidRDefault="007B564F" w:rsidP="003362F6">
            <w:pPr>
              <w:pStyle w:val="BodyText"/>
              <w:spacing w:after="0" w:line="240" w:lineRule="auto"/>
              <w:rPr>
                <w:rFonts w:ascii="Arial" w:hAnsi="Arial" w:cs="Arial"/>
                <w:sz w:val="22"/>
                <w:szCs w:val="22"/>
                <w:lang w:val="en-GB"/>
              </w:rPr>
            </w:pPr>
            <w:r>
              <w:rPr>
                <w:rFonts w:ascii="Arial" w:hAnsi="Arial" w:cs="Arial"/>
                <w:sz w:val="22"/>
                <w:szCs w:val="22"/>
                <w:lang w:val="en-GB"/>
              </w:rPr>
              <w:t>Mobile</w:t>
            </w:r>
          </w:p>
        </w:tc>
      </w:tr>
    </w:tbl>
    <w:p w14:paraId="480D652C" w14:textId="77777777" w:rsidR="00C20EAC" w:rsidRPr="00122625" w:rsidRDefault="00C20EAC" w:rsidP="006C15ED">
      <w:pPr>
        <w:spacing w:before="120"/>
        <w:jc w:val="both"/>
        <w:rPr>
          <w:rFonts w:ascii="Arial" w:hAnsi="Arial" w:cs="Arial"/>
          <w:b/>
          <w:bCs/>
          <w:color w:val="2F759E"/>
          <w:sz w:val="22"/>
          <w:szCs w:val="22"/>
          <w:lang w:val="en-GB"/>
          <w14:textFill>
            <w14:solidFill>
              <w14:srgbClr w14:val="2F759E">
                <w14:lumMod w14:val="75000"/>
              </w14:srgbClr>
            </w14:solidFill>
          </w14:textFill>
        </w:rPr>
      </w:pPr>
    </w:p>
    <w:p w14:paraId="44EF206D" w14:textId="77777777" w:rsidR="00147515" w:rsidRPr="006C15ED" w:rsidRDefault="00147515" w:rsidP="00C20EAC">
      <w:pPr>
        <w:spacing w:before="120" w:after="120"/>
        <w:jc w:val="both"/>
        <w:rPr>
          <w:rFonts w:ascii="Arial" w:hAnsi="Arial" w:cs="Arial"/>
          <w:b/>
          <w:bCs/>
          <w:color w:val="2F759E"/>
          <w:sz w:val="28"/>
          <w:szCs w:val="32"/>
          <w:lang w:val="en-GB"/>
        </w:rPr>
      </w:pPr>
      <w:r w:rsidRPr="006C15ED">
        <w:rPr>
          <w:rFonts w:ascii="Arial" w:hAnsi="Arial" w:cs="Arial"/>
          <w:b/>
          <w:bCs/>
          <w:color w:val="2F759E"/>
          <w:sz w:val="28"/>
          <w:szCs w:val="32"/>
          <w:lang w:val="en-GB"/>
        </w:rPr>
        <w:t>For practice use only</w:t>
      </w:r>
    </w:p>
    <w:tbl>
      <w:tblPr>
        <w:tblStyle w:val="TableGrid"/>
        <w:tblW w:w="9639" w:type="dxa"/>
        <w:tblInd w:w="108" w:type="dxa"/>
        <w:tblLook w:val="04A0" w:firstRow="1" w:lastRow="0" w:firstColumn="1" w:lastColumn="0" w:noHBand="0" w:noVBand="1"/>
      </w:tblPr>
      <w:tblGrid>
        <w:gridCol w:w="2127"/>
        <w:gridCol w:w="1417"/>
        <w:gridCol w:w="3686"/>
        <w:gridCol w:w="2409"/>
      </w:tblGrid>
      <w:tr w:rsidR="000E7594" w:rsidRPr="006B1156" w14:paraId="306CBB3C" w14:textId="77777777" w:rsidTr="00AD6F09">
        <w:trPr>
          <w:trHeight w:val="619"/>
        </w:trPr>
        <w:tc>
          <w:tcPr>
            <w:tcW w:w="3544" w:type="dxa"/>
            <w:gridSpan w:val="2"/>
          </w:tcPr>
          <w:p w14:paraId="24BBCE77" w14:textId="77777777" w:rsidR="000E7594" w:rsidRPr="006B1156" w:rsidRDefault="00E67B23"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The p</w:t>
            </w:r>
            <w:r w:rsidR="000E7594" w:rsidRPr="00122625">
              <w:rPr>
                <w:rFonts w:ascii="Arial" w:hAnsi="Arial" w:cs="Arial"/>
                <w:i w:val="0"/>
                <w:iCs/>
                <w:color w:val="2F759E"/>
                <w:sz w:val="22"/>
                <w:szCs w:val="22"/>
              </w:rPr>
              <w:t>atient</w:t>
            </w:r>
            <w:r w:rsidRPr="00122625">
              <w:rPr>
                <w:rFonts w:ascii="Arial" w:hAnsi="Arial" w:cs="Arial"/>
                <w:i w:val="0"/>
                <w:iCs/>
                <w:color w:val="2F759E"/>
                <w:sz w:val="22"/>
                <w:szCs w:val="22"/>
              </w:rPr>
              <w:t>’s</w:t>
            </w:r>
            <w:r w:rsidR="000E7594" w:rsidRPr="00122625">
              <w:rPr>
                <w:rFonts w:ascii="Arial" w:hAnsi="Arial" w:cs="Arial"/>
                <w:i w:val="0"/>
                <w:iCs/>
                <w:color w:val="2F759E"/>
                <w:sz w:val="22"/>
                <w:szCs w:val="22"/>
              </w:rPr>
              <w:t xml:space="preserve"> NHS number</w:t>
            </w:r>
          </w:p>
        </w:tc>
        <w:tc>
          <w:tcPr>
            <w:tcW w:w="6095" w:type="dxa"/>
            <w:gridSpan w:val="2"/>
          </w:tcPr>
          <w:p w14:paraId="53EC6F0A" w14:textId="77777777" w:rsidR="000E7594" w:rsidRPr="006B1156" w:rsidRDefault="00E67B23"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The patient’s p</w:t>
            </w:r>
            <w:r w:rsidR="000E7594" w:rsidRPr="00122625">
              <w:rPr>
                <w:rFonts w:ascii="Arial" w:hAnsi="Arial" w:cs="Arial"/>
                <w:i w:val="0"/>
                <w:iCs/>
                <w:color w:val="2F759E"/>
                <w:sz w:val="22"/>
                <w:szCs w:val="22"/>
              </w:rPr>
              <w:t>ractice computer ID number</w:t>
            </w:r>
          </w:p>
        </w:tc>
      </w:tr>
      <w:tr w:rsidR="00E12742" w:rsidRPr="006B1156" w14:paraId="7718020F" w14:textId="77777777" w:rsidTr="00AD6F09">
        <w:trPr>
          <w:trHeight w:val="1109"/>
        </w:trPr>
        <w:tc>
          <w:tcPr>
            <w:tcW w:w="2127" w:type="dxa"/>
          </w:tcPr>
          <w:p w14:paraId="5657B627" w14:textId="77777777" w:rsidR="000E7594" w:rsidRPr="00122625"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Identity verified by</w:t>
            </w:r>
          </w:p>
          <w:p w14:paraId="7DF3C956" w14:textId="77777777" w:rsidR="000E7594" w:rsidRPr="006B1156"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(initials)</w:t>
            </w:r>
          </w:p>
        </w:tc>
        <w:tc>
          <w:tcPr>
            <w:tcW w:w="1417" w:type="dxa"/>
          </w:tcPr>
          <w:p w14:paraId="0C7FD9E9" w14:textId="77777777" w:rsidR="000E7594" w:rsidRPr="006B1156"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Date</w:t>
            </w:r>
          </w:p>
        </w:tc>
        <w:tc>
          <w:tcPr>
            <w:tcW w:w="6095" w:type="dxa"/>
            <w:gridSpan w:val="2"/>
          </w:tcPr>
          <w:p w14:paraId="1FD78841" w14:textId="77777777" w:rsidR="000E7594" w:rsidRPr="00122625"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Method</w:t>
            </w:r>
            <w:r w:rsidR="00E67B23" w:rsidRPr="00122625">
              <w:rPr>
                <w:rFonts w:ascii="Arial" w:hAnsi="Arial" w:cs="Arial"/>
                <w:i w:val="0"/>
                <w:iCs/>
                <w:color w:val="2F759E"/>
                <w:sz w:val="22"/>
                <w:szCs w:val="22"/>
              </w:rPr>
              <w:t xml:space="preserve"> of verification</w:t>
            </w:r>
          </w:p>
          <w:p w14:paraId="2A92D977" w14:textId="77777777" w:rsidR="000E7594" w:rsidRPr="00122625" w:rsidRDefault="000E7594" w:rsidP="003362F6">
            <w:pPr>
              <w:pStyle w:val="bodytext4"/>
              <w:spacing w:before="0" w:after="0"/>
              <w:jc w:val="right"/>
              <w:rPr>
                <w:rFonts w:ascii="Arial" w:hAnsi="Arial" w:cs="Arial"/>
                <w:i w:val="0"/>
                <w:iCs/>
                <w:color w:val="2F759E"/>
                <w:sz w:val="22"/>
                <w:szCs w:val="22"/>
              </w:rPr>
            </w:pPr>
            <w:r w:rsidRPr="00122625">
              <w:rPr>
                <w:rFonts w:ascii="Arial" w:hAnsi="Arial" w:cs="Arial"/>
                <w:i w:val="0"/>
                <w:iCs/>
                <w:color w:val="2F759E"/>
                <w:sz w:val="22"/>
                <w:szCs w:val="22"/>
              </w:rPr>
              <w:t xml:space="preserve">Vouching </w:t>
            </w:r>
            <w:r w:rsidRPr="00122625">
              <w:rPr>
                <w:rFonts w:ascii="Arial" w:hAnsi="Arial" w:cs="Arial"/>
                <w:i w:val="0"/>
                <w:iCs/>
                <w:color w:val="2F759E"/>
                <w:sz w:val="22"/>
                <w:szCs w:val="22"/>
              </w:rPr>
              <w:sym w:font="Wingdings" w:char="F06F"/>
            </w:r>
          </w:p>
          <w:p w14:paraId="5EAD7861" w14:textId="77777777" w:rsidR="000E7594" w:rsidRPr="00122625" w:rsidRDefault="000E7594" w:rsidP="00E67B23">
            <w:pPr>
              <w:pStyle w:val="bodytext4"/>
              <w:spacing w:before="0" w:after="0"/>
              <w:jc w:val="right"/>
              <w:rPr>
                <w:rFonts w:ascii="Arial" w:hAnsi="Arial" w:cs="Arial"/>
                <w:i w:val="0"/>
                <w:iCs/>
                <w:color w:val="2F759E"/>
                <w:sz w:val="22"/>
                <w:szCs w:val="22"/>
              </w:rPr>
            </w:pPr>
            <w:r w:rsidRPr="00122625">
              <w:rPr>
                <w:rFonts w:ascii="Arial" w:hAnsi="Arial" w:cs="Arial"/>
                <w:i w:val="0"/>
                <w:iCs/>
                <w:color w:val="2F759E"/>
                <w:sz w:val="22"/>
                <w:szCs w:val="22"/>
              </w:rPr>
              <w:t xml:space="preserve">Vouching with information in record </w:t>
            </w:r>
            <w:r w:rsidRPr="00122625">
              <w:rPr>
                <w:rFonts w:ascii="Arial" w:hAnsi="Arial" w:cs="Arial"/>
                <w:i w:val="0"/>
                <w:iCs/>
                <w:color w:val="2F759E"/>
                <w:sz w:val="22"/>
                <w:szCs w:val="22"/>
              </w:rPr>
              <w:sym w:font="Wingdings" w:char="F06F"/>
            </w:r>
            <w:r w:rsidRPr="00122625">
              <w:rPr>
                <w:rFonts w:ascii="Arial" w:hAnsi="Arial" w:cs="Arial"/>
                <w:i w:val="0"/>
                <w:iCs/>
                <w:color w:val="2F759E"/>
                <w:sz w:val="22"/>
                <w:szCs w:val="22"/>
              </w:rPr>
              <w:t xml:space="preserve">   </w:t>
            </w:r>
          </w:p>
          <w:p w14:paraId="3FF00C63" w14:textId="77777777" w:rsidR="000E7594" w:rsidRPr="006B1156" w:rsidRDefault="000E7594" w:rsidP="003362F6">
            <w:pPr>
              <w:pStyle w:val="bodytext4"/>
              <w:spacing w:before="0" w:after="0"/>
              <w:jc w:val="right"/>
              <w:rPr>
                <w:rFonts w:ascii="Arial" w:hAnsi="Arial" w:cs="Arial"/>
                <w:i w:val="0"/>
                <w:iCs/>
                <w:color w:val="2F759E"/>
                <w:sz w:val="22"/>
                <w:szCs w:val="22"/>
              </w:rPr>
            </w:pPr>
            <w:r w:rsidRPr="00122625">
              <w:rPr>
                <w:rFonts w:ascii="Arial" w:hAnsi="Arial" w:cs="Arial"/>
                <w:i w:val="0"/>
                <w:iCs/>
                <w:color w:val="2F759E"/>
                <w:sz w:val="22"/>
                <w:szCs w:val="22"/>
              </w:rPr>
              <w:t xml:space="preserve">Photo ID and proof of residence </w:t>
            </w:r>
            <w:r w:rsidRPr="00122625">
              <w:rPr>
                <w:rFonts w:ascii="Arial" w:hAnsi="Arial" w:cs="Arial"/>
                <w:i w:val="0"/>
                <w:iCs/>
                <w:color w:val="2F759E"/>
                <w:sz w:val="22"/>
                <w:szCs w:val="22"/>
              </w:rPr>
              <w:sym w:font="Wingdings" w:char="F06F"/>
            </w:r>
          </w:p>
        </w:tc>
      </w:tr>
      <w:tr w:rsidR="000E7594" w:rsidRPr="006B1156" w14:paraId="28E7AC57" w14:textId="77777777" w:rsidTr="00E12742">
        <w:trPr>
          <w:trHeight w:val="475"/>
        </w:trPr>
        <w:tc>
          <w:tcPr>
            <w:tcW w:w="7230" w:type="dxa"/>
            <w:gridSpan w:val="3"/>
          </w:tcPr>
          <w:p w14:paraId="6F140051" w14:textId="77777777" w:rsidR="000E7594" w:rsidRPr="006B1156" w:rsidRDefault="00E67B23"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Proxy access a</w:t>
            </w:r>
            <w:r w:rsidR="000E7594" w:rsidRPr="00122625">
              <w:rPr>
                <w:rFonts w:ascii="Arial" w:hAnsi="Arial" w:cs="Arial"/>
                <w:i w:val="0"/>
                <w:iCs/>
                <w:color w:val="2F759E"/>
                <w:sz w:val="22"/>
                <w:szCs w:val="22"/>
              </w:rPr>
              <w:t xml:space="preserve">uthorised by </w:t>
            </w:r>
          </w:p>
        </w:tc>
        <w:tc>
          <w:tcPr>
            <w:tcW w:w="2409" w:type="dxa"/>
          </w:tcPr>
          <w:p w14:paraId="6D5D21D4" w14:textId="77777777" w:rsidR="000E7594" w:rsidRPr="006B1156"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Date</w:t>
            </w:r>
          </w:p>
        </w:tc>
      </w:tr>
      <w:tr w:rsidR="000E7594" w:rsidRPr="006B1156" w14:paraId="45A97AA4" w14:textId="77777777" w:rsidTr="00E12742">
        <w:trPr>
          <w:trHeight w:val="313"/>
        </w:trPr>
        <w:tc>
          <w:tcPr>
            <w:tcW w:w="9639" w:type="dxa"/>
            <w:gridSpan w:val="4"/>
          </w:tcPr>
          <w:p w14:paraId="5ACB55DA" w14:textId="77777777" w:rsidR="000E7594" w:rsidRPr="006B1156"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 xml:space="preserve">Date account created </w:t>
            </w:r>
          </w:p>
        </w:tc>
      </w:tr>
      <w:tr w:rsidR="000E7594" w:rsidRPr="006B1156" w14:paraId="5B850EDF" w14:textId="77777777" w:rsidTr="00E12742">
        <w:trPr>
          <w:trHeight w:val="313"/>
        </w:trPr>
        <w:tc>
          <w:tcPr>
            <w:tcW w:w="9639" w:type="dxa"/>
            <w:gridSpan w:val="4"/>
          </w:tcPr>
          <w:p w14:paraId="11D2B561" w14:textId="77777777" w:rsidR="000E7594" w:rsidRPr="006B1156" w:rsidRDefault="000E7594" w:rsidP="003362F6">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 xml:space="preserve">Date passphrase sent </w:t>
            </w:r>
          </w:p>
        </w:tc>
      </w:tr>
      <w:tr w:rsidR="000E7594" w:rsidRPr="006B1156" w14:paraId="04252E3A" w14:textId="77777777" w:rsidTr="00AD6F09">
        <w:tc>
          <w:tcPr>
            <w:tcW w:w="3544" w:type="dxa"/>
            <w:gridSpan w:val="2"/>
          </w:tcPr>
          <w:p w14:paraId="1A98698A" w14:textId="77777777" w:rsidR="00E12742" w:rsidRPr="00122625" w:rsidRDefault="000E7594" w:rsidP="00E12742">
            <w:pPr>
              <w:pStyle w:val="bodytext4"/>
              <w:tabs>
                <w:tab w:val="left" w:pos="5279"/>
              </w:tabs>
              <w:spacing w:before="0" w:after="0"/>
              <w:ind w:right="34"/>
              <w:rPr>
                <w:rFonts w:ascii="Arial" w:hAnsi="Arial" w:cs="Arial"/>
                <w:i w:val="0"/>
                <w:iCs/>
                <w:color w:val="2F759E"/>
                <w:sz w:val="22"/>
                <w:szCs w:val="22"/>
              </w:rPr>
            </w:pPr>
            <w:r w:rsidRPr="00122625">
              <w:rPr>
                <w:rFonts w:ascii="Arial" w:hAnsi="Arial" w:cs="Arial"/>
                <w:i w:val="0"/>
                <w:iCs/>
                <w:color w:val="2F759E"/>
                <w:sz w:val="22"/>
                <w:szCs w:val="22"/>
              </w:rPr>
              <w:t>Level of record access enabled</w:t>
            </w:r>
            <w:r w:rsidR="00E67B23" w:rsidRPr="00122625">
              <w:rPr>
                <w:rFonts w:ascii="Arial" w:hAnsi="Arial" w:cs="Arial"/>
                <w:i w:val="0"/>
                <w:iCs/>
                <w:color w:val="2F759E"/>
                <w:sz w:val="22"/>
                <w:szCs w:val="22"/>
              </w:rPr>
              <w:t xml:space="preserve"> </w:t>
            </w:r>
          </w:p>
          <w:p w14:paraId="64159584" w14:textId="77777777" w:rsidR="000E7594" w:rsidRPr="00122625" w:rsidRDefault="00E12742" w:rsidP="00AD6F09">
            <w:pPr>
              <w:pStyle w:val="bodytext4"/>
              <w:tabs>
                <w:tab w:val="left" w:pos="5279"/>
              </w:tabs>
              <w:spacing w:before="0" w:after="0"/>
              <w:ind w:right="34"/>
              <w:rPr>
                <w:rFonts w:ascii="Arial" w:hAnsi="Arial" w:cs="Arial"/>
                <w:i w:val="0"/>
                <w:iCs/>
                <w:color w:val="2F759E"/>
                <w:sz w:val="16"/>
                <w:szCs w:val="16"/>
              </w:rPr>
            </w:pPr>
            <w:r w:rsidRPr="00122625">
              <w:rPr>
                <w:rFonts w:ascii="Arial" w:hAnsi="Arial" w:cs="Arial"/>
                <w:i w:val="0"/>
                <w:iCs/>
                <w:color w:val="2F759E"/>
                <w:sz w:val="16"/>
                <w:szCs w:val="16"/>
              </w:rPr>
              <w:t xml:space="preserve">                  </w:t>
            </w:r>
            <w:r w:rsidR="00AD6F09" w:rsidRPr="00122625">
              <w:rPr>
                <w:rFonts w:ascii="Arial" w:hAnsi="Arial" w:cs="Arial"/>
                <w:i w:val="0"/>
                <w:iCs/>
                <w:color w:val="2F759E"/>
                <w:sz w:val="16"/>
                <w:szCs w:val="16"/>
              </w:rPr>
              <w:t xml:space="preserve">                               </w:t>
            </w:r>
          </w:p>
          <w:p w14:paraId="2B15E69C" w14:textId="77777777" w:rsidR="00E12742" w:rsidRPr="00122625" w:rsidRDefault="00AD6F09" w:rsidP="00E12742">
            <w:pPr>
              <w:pStyle w:val="bodytext4"/>
              <w:spacing w:before="0" w:after="0"/>
              <w:ind w:right="34"/>
              <w:jc w:val="right"/>
              <w:rPr>
                <w:rFonts w:ascii="Arial" w:hAnsi="Arial" w:cs="Arial"/>
                <w:i w:val="0"/>
                <w:iCs/>
                <w:color w:val="2F759E"/>
                <w:sz w:val="22"/>
                <w:szCs w:val="22"/>
              </w:rPr>
            </w:pPr>
            <w:r w:rsidRPr="00122625">
              <w:rPr>
                <w:rFonts w:ascii="Arial" w:hAnsi="Arial" w:cs="Arial"/>
                <w:i w:val="0"/>
                <w:iCs/>
                <w:color w:val="2F759E"/>
                <w:sz w:val="22"/>
                <w:szCs w:val="22"/>
              </w:rPr>
              <w:t>P</w:t>
            </w:r>
            <w:r w:rsidR="000E7594" w:rsidRPr="00122625">
              <w:rPr>
                <w:rFonts w:ascii="Arial" w:hAnsi="Arial" w:cs="Arial"/>
                <w:i w:val="0"/>
                <w:iCs/>
                <w:color w:val="2F759E"/>
                <w:sz w:val="22"/>
                <w:szCs w:val="22"/>
              </w:rPr>
              <w:t xml:space="preserve">rospective </w:t>
            </w:r>
            <w:r w:rsidR="000E7594" w:rsidRPr="00122625">
              <w:rPr>
                <w:rFonts w:ascii="Arial" w:hAnsi="Arial" w:cs="Arial"/>
                <w:i w:val="0"/>
                <w:iCs/>
                <w:color w:val="2F759E"/>
                <w:sz w:val="22"/>
                <w:szCs w:val="22"/>
              </w:rPr>
              <w:sym w:font="Wingdings" w:char="F06F"/>
            </w:r>
          </w:p>
          <w:p w14:paraId="023CB99B" w14:textId="77777777" w:rsidR="000E7594" w:rsidRPr="00122625" w:rsidRDefault="00E12742" w:rsidP="00E12742">
            <w:pPr>
              <w:pStyle w:val="bodytext4"/>
              <w:spacing w:before="0" w:after="0"/>
              <w:ind w:right="34"/>
              <w:jc w:val="right"/>
              <w:rPr>
                <w:rFonts w:ascii="Arial" w:hAnsi="Arial" w:cs="Arial"/>
                <w:i w:val="0"/>
                <w:iCs/>
                <w:color w:val="2F759E"/>
                <w:sz w:val="22"/>
                <w:szCs w:val="22"/>
              </w:rPr>
            </w:pPr>
            <w:r w:rsidRPr="00122625">
              <w:rPr>
                <w:rFonts w:ascii="Arial" w:hAnsi="Arial" w:cs="Arial"/>
                <w:i w:val="0"/>
                <w:iCs/>
                <w:color w:val="2F759E"/>
                <w:sz w:val="22"/>
                <w:szCs w:val="22"/>
              </w:rPr>
              <w:t xml:space="preserve">Retrospective </w:t>
            </w:r>
            <w:r w:rsidRPr="00122625">
              <w:rPr>
                <w:rFonts w:ascii="Arial" w:hAnsi="Arial" w:cs="Arial"/>
                <w:i w:val="0"/>
                <w:iCs/>
                <w:color w:val="2F759E"/>
                <w:sz w:val="22"/>
                <w:szCs w:val="22"/>
              </w:rPr>
              <w:sym w:font="Wingdings" w:char="F06F"/>
            </w:r>
            <w:r w:rsidR="000E7594" w:rsidRPr="00122625">
              <w:rPr>
                <w:rFonts w:ascii="Arial" w:hAnsi="Arial" w:cs="Arial"/>
                <w:i w:val="0"/>
                <w:iCs/>
                <w:color w:val="2F759E"/>
                <w:sz w:val="22"/>
                <w:szCs w:val="22"/>
              </w:rPr>
              <w:t xml:space="preserve">   </w:t>
            </w:r>
          </w:p>
          <w:p w14:paraId="6EA914FF" w14:textId="77777777" w:rsidR="000E7594" w:rsidRPr="00122625" w:rsidRDefault="000E7594" w:rsidP="00E12742">
            <w:pPr>
              <w:pStyle w:val="bodytext4"/>
              <w:spacing w:before="0" w:after="0"/>
              <w:ind w:right="34"/>
              <w:jc w:val="right"/>
              <w:rPr>
                <w:rFonts w:ascii="Arial" w:hAnsi="Arial" w:cs="Arial"/>
                <w:i w:val="0"/>
                <w:iCs/>
                <w:color w:val="2F759E"/>
                <w:sz w:val="22"/>
                <w:szCs w:val="22"/>
              </w:rPr>
            </w:pPr>
            <w:r w:rsidRPr="00122625">
              <w:rPr>
                <w:rFonts w:ascii="Arial" w:hAnsi="Arial" w:cs="Arial"/>
                <w:i w:val="0"/>
                <w:iCs/>
                <w:color w:val="2F759E"/>
                <w:sz w:val="22"/>
                <w:szCs w:val="22"/>
              </w:rPr>
              <w:t xml:space="preserve">All </w:t>
            </w:r>
            <w:r w:rsidRPr="00122625">
              <w:rPr>
                <w:rFonts w:ascii="Arial" w:hAnsi="Arial" w:cs="Arial"/>
                <w:i w:val="0"/>
                <w:iCs/>
                <w:color w:val="2F759E"/>
                <w:sz w:val="22"/>
                <w:szCs w:val="22"/>
              </w:rPr>
              <w:sym w:font="Wingdings" w:char="F06F"/>
            </w:r>
          </w:p>
          <w:p w14:paraId="6797627D" w14:textId="77777777" w:rsidR="000E7594" w:rsidRPr="00122625" w:rsidRDefault="000E7594" w:rsidP="00E12742">
            <w:pPr>
              <w:pStyle w:val="bodytext4"/>
              <w:spacing w:before="0" w:after="0"/>
              <w:ind w:right="34"/>
              <w:jc w:val="right"/>
              <w:rPr>
                <w:rFonts w:ascii="Arial" w:hAnsi="Arial" w:cs="Arial"/>
                <w:i w:val="0"/>
                <w:iCs/>
                <w:color w:val="2F759E"/>
                <w:sz w:val="22"/>
                <w:szCs w:val="22"/>
              </w:rPr>
            </w:pPr>
            <w:r w:rsidRPr="00122625">
              <w:rPr>
                <w:rFonts w:ascii="Arial" w:hAnsi="Arial" w:cs="Arial"/>
                <w:i w:val="0"/>
                <w:iCs/>
                <w:color w:val="2F759E"/>
                <w:sz w:val="22"/>
                <w:szCs w:val="22"/>
              </w:rPr>
              <w:t xml:space="preserve">Limited parts </w:t>
            </w:r>
            <w:r w:rsidRPr="00122625">
              <w:rPr>
                <w:rFonts w:ascii="Arial" w:hAnsi="Arial" w:cs="Arial"/>
                <w:i w:val="0"/>
                <w:iCs/>
                <w:color w:val="2F759E"/>
                <w:sz w:val="22"/>
                <w:szCs w:val="22"/>
              </w:rPr>
              <w:sym w:font="Wingdings" w:char="F06F"/>
            </w:r>
          </w:p>
          <w:p w14:paraId="35AA3CE3" w14:textId="77777777" w:rsidR="000E7594" w:rsidRPr="006B1156" w:rsidRDefault="000E7594" w:rsidP="00E12742">
            <w:pPr>
              <w:pStyle w:val="bodytext4"/>
              <w:spacing w:before="0" w:after="0"/>
              <w:ind w:right="34"/>
              <w:jc w:val="right"/>
              <w:rPr>
                <w:rFonts w:ascii="Arial" w:hAnsi="Arial" w:cs="Arial"/>
                <w:i w:val="0"/>
                <w:iCs/>
                <w:color w:val="2F759E"/>
                <w:sz w:val="22"/>
                <w:szCs w:val="22"/>
              </w:rPr>
            </w:pPr>
            <w:r w:rsidRPr="00122625">
              <w:rPr>
                <w:rFonts w:ascii="Arial" w:hAnsi="Arial" w:cs="Arial"/>
                <w:i w:val="0"/>
                <w:iCs/>
                <w:color w:val="2F759E"/>
                <w:sz w:val="22"/>
                <w:szCs w:val="22"/>
              </w:rPr>
              <w:t xml:space="preserve">Contractual minimum </w:t>
            </w:r>
            <w:r w:rsidRPr="00122625">
              <w:rPr>
                <w:rFonts w:ascii="Arial" w:hAnsi="Arial" w:cs="Arial"/>
                <w:i w:val="0"/>
                <w:iCs/>
                <w:color w:val="2F759E"/>
                <w:sz w:val="22"/>
                <w:szCs w:val="22"/>
              </w:rPr>
              <w:sym w:font="Wingdings" w:char="F06F"/>
            </w:r>
          </w:p>
        </w:tc>
        <w:tc>
          <w:tcPr>
            <w:tcW w:w="6095" w:type="dxa"/>
            <w:gridSpan w:val="2"/>
          </w:tcPr>
          <w:p w14:paraId="5EEEA462" w14:textId="77777777" w:rsidR="000E7594" w:rsidRPr="006B1156" w:rsidRDefault="000E7594" w:rsidP="002960EB">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 xml:space="preserve">Notes / </w:t>
            </w:r>
            <w:r w:rsidR="002960EB" w:rsidRPr="00122625">
              <w:rPr>
                <w:rFonts w:ascii="Arial" w:hAnsi="Arial" w:cs="Arial"/>
                <w:i w:val="0"/>
                <w:iCs/>
                <w:color w:val="2F759E"/>
                <w:sz w:val="22"/>
                <w:szCs w:val="22"/>
              </w:rPr>
              <w:t>comments on proxy access</w:t>
            </w:r>
          </w:p>
        </w:tc>
      </w:tr>
    </w:tbl>
    <w:p w14:paraId="216B2CC1" w14:textId="4C0573CB" w:rsidR="00616E43" w:rsidRDefault="00616E43" w:rsidP="00122625"/>
    <w:p w14:paraId="0838235E" w14:textId="6CB180D9" w:rsidR="00085AA2" w:rsidRDefault="00085AA2" w:rsidP="00122625"/>
    <w:p w14:paraId="70A8EB68" w14:textId="1B5BE840" w:rsidR="00085AA2" w:rsidRDefault="00085AA2" w:rsidP="00122625"/>
    <w:p w14:paraId="2FE98F48" w14:textId="2E2A8131" w:rsidR="00085AA2" w:rsidRDefault="00085AA2" w:rsidP="00122625"/>
    <w:p w14:paraId="2FAB0BF2" w14:textId="4FF5FFE8" w:rsidR="00085AA2" w:rsidRDefault="00085AA2" w:rsidP="00122625"/>
    <w:p w14:paraId="2B673B94" w14:textId="32655D81" w:rsidR="00085AA2" w:rsidRDefault="00085AA2" w:rsidP="00122625"/>
    <w:p w14:paraId="75C0F54D" w14:textId="068F8A34" w:rsidR="00085AA2" w:rsidRDefault="00085AA2" w:rsidP="00122625"/>
    <w:p w14:paraId="4BB5B0DA" w14:textId="144E6B5F" w:rsidR="00085AA2" w:rsidRDefault="00085AA2" w:rsidP="00122625"/>
    <w:p w14:paraId="1F79DCA0" w14:textId="2111BA0C" w:rsidR="00085AA2" w:rsidRDefault="00085AA2" w:rsidP="00122625"/>
    <w:p w14:paraId="51FF7011" w14:textId="77777777" w:rsidR="00085AA2" w:rsidRDefault="00085AA2" w:rsidP="00085AA2">
      <w:pPr>
        <w:pStyle w:val="Heading"/>
        <w:spacing w:before="120" w:line="300" w:lineRule="auto"/>
        <w:ind w:left="0"/>
        <w:rPr>
          <w:color w:val="2F759E"/>
          <w:sz w:val="28"/>
          <w:szCs w:val="28"/>
          <w:u w:color="2F759E"/>
        </w:rPr>
      </w:pPr>
      <w:r>
        <w:rPr>
          <w:rFonts w:eastAsia="Arial" w:cs="Arial"/>
          <w:b w:val="0"/>
          <w:noProof/>
          <w:color w:val="0070C0"/>
          <w:sz w:val="28"/>
          <w:szCs w:val="28"/>
        </w:rPr>
        <w:lastRenderedPageBreak/>
        <w:drawing>
          <wp:anchor distT="0" distB="0" distL="0" distR="0" simplePos="0" relativeHeight="251660288" behindDoc="1" locked="0" layoutInCell="1" hidden="0" allowOverlap="1" wp14:anchorId="4C3521D5" wp14:editId="2D5FBCF9">
            <wp:simplePos x="0" y="0"/>
            <wp:positionH relativeFrom="page">
              <wp:posOffset>774700</wp:posOffset>
            </wp:positionH>
            <wp:positionV relativeFrom="page">
              <wp:posOffset>924560</wp:posOffset>
            </wp:positionV>
            <wp:extent cx="2250000" cy="720000"/>
            <wp:effectExtent l="0" t="0" r="0" b="4445"/>
            <wp:wrapNone/>
            <wp:docPr id="1073741832" name="image2.jpg" descr="Image"/>
            <wp:cNvGraphicFramePr/>
            <a:graphic xmlns:a="http://schemas.openxmlformats.org/drawingml/2006/main">
              <a:graphicData uri="http://schemas.openxmlformats.org/drawingml/2006/picture">
                <pic:pic xmlns:pic="http://schemas.openxmlformats.org/drawingml/2006/picture">
                  <pic:nvPicPr>
                    <pic:cNvPr id="0" name="image2.jpg" descr="Image"/>
                    <pic:cNvPicPr preferRelativeResize="0"/>
                  </pic:nvPicPr>
                  <pic:blipFill>
                    <a:blip r:embed="rId11"/>
                    <a:srcRect/>
                    <a:stretch>
                      <a:fillRect/>
                    </a:stretch>
                  </pic:blipFill>
                  <pic:spPr>
                    <a:xfrm>
                      <a:off x="0" y="0"/>
                      <a:ext cx="2250000" cy="720000"/>
                    </a:xfrm>
                    <a:prstGeom prst="rect">
                      <a:avLst/>
                    </a:prstGeom>
                    <a:ln/>
                  </pic:spPr>
                </pic:pic>
              </a:graphicData>
            </a:graphic>
            <wp14:sizeRelH relativeFrom="margin">
              <wp14:pctWidth>0</wp14:pctWidth>
            </wp14:sizeRelH>
            <wp14:sizeRelV relativeFrom="margin">
              <wp14:pctHeight>0</wp14:pctHeight>
            </wp14:sizeRelV>
          </wp:anchor>
        </w:drawing>
      </w:r>
    </w:p>
    <w:p w14:paraId="4F7B10FE" w14:textId="77777777" w:rsidR="00085AA2" w:rsidRDefault="00085AA2" w:rsidP="00085AA2">
      <w:pPr>
        <w:pStyle w:val="Heading"/>
        <w:spacing w:before="120" w:line="300" w:lineRule="auto"/>
        <w:ind w:left="0"/>
        <w:rPr>
          <w:color w:val="2F759E"/>
          <w:sz w:val="28"/>
          <w:szCs w:val="28"/>
          <w:u w:color="2F759E"/>
        </w:rPr>
      </w:pPr>
    </w:p>
    <w:p w14:paraId="3F47D1CA" w14:textId="77777777" w:rsidR="00085AA2" w:rsidRDefault="00085AA2" w:rsidP="00085AA2">
      <w:pPr>
        <w:pStyle w:val="Heading"/>
        <w:spacing w:before="120" w:line="300" w:lineRule="auto"/>
        <w:ind w:left="0"/>
        <w:rPr>
          <w:color w:val="0070C0"/>
          <w:sz w:val="28"/>
          <w:szCs w:val="28"/>
          <w:u w:color="2F759E"/>
        </w:rPr>
      </w:pPr>
    </w:p>
    <w:p w14:paraId="41481357" w14:textId="77777777" w:rsidR="00085AA2" w:rsidRDefault="00085AA2" w:rsidP="00085AA2">
      <w:pPr>
        <w:pStyle w:val="Heading"/>
        <w:spacing w:before="120" w:line="300" w:lineRule="auto"/>
        <w:ind w:left="0"/>
        <w:rPr>
          <w:color w:val="0070C0"/>
          <w:sz w:val="28"/>
          <w:szCs w:val="28"/>
          <w:u w:color="2F759E"/>
        </w:rPr>
      </w:pPr>
    </w:p>
    <w:p w14:paraId="1DD366EE" w14:textId="77777777" w:rsidR="00085AA2" w:rsidRPr="009227EF" w:rsidRDefault="00085AA2" w:rsidP="00085AA2">
      <w:pPr>
        <w:pStyle w:val="BodyText"/>
        <w:spacing w:before="120" w:line="300" w:lineRule="auto"/>
        <w:rPr>
          <w:rFonts w:ascii="Lato" w:hAnsi="Lato"/>
          <w:color w:val="000000" w:themeColor="text1"/>
          <w:sz w:val="32"/>
          <w:szCs w:val="32"/>
        </w:rPr>
      </w:pPr>
      <w:r w:rsidRPr="009227EF">
        <w:rPr>
          <w:rFonts w:ascii="Lato" w:hAnsi="Lato"/>
          <w:color w:val="000000" w:themeColor="text1"/>
          <w:sz w:val="32"/>
          <w:szCs w:val="32"/>
        </w:rPr>
        <w:t>Proxy Access for children and young people</w:t>
      </w:r>
    </w:p>
    <w:p w14:paraId="52207AC6" w14:textId="77777777" w:rsidR="00085AA2" w:rsidRPr="00212CEA" w:rsidRDefault="00085AA2" w:rsidP="00085AA2">
      <w:pPr>
        <w:pStyle w:val="BodyText"/>
        <w:spacing w:before="120" w:line="300" w:lineRule="auto"/>
      </w:pPr>
      <w:r w:rsidRPr="4669421C">
        <w:t>Before a child develops the capacity to make informed choices about their healthcare, including using GP Online Services safely, the usual position would be for someone with parental responsibility for the child to control access to GP Online Services.  They may have proxy access as a trusted third-party where it is in the child’s best interests (see the Proxy Access guidance in the Toolkit).</w:t>
      </w:r>
    </w:p>
    <w:p w14:paraId="4312CE41" w14:textId="77777777" w:rsidR="00085AA2" w:rsidRDefault="00085AA2" w:rsidP="00085AA2">
      <w:pPr>
        <w:pStyle w:val="BodyText"/>
        <w:spacing w:before="120" w:line="300" w:lineRule="auto"/>
      </w:pPr>
      <w:r>
        <w:t>Practices should be mindful of the benefits of parental proxy access for children and families, while protecting the small number of children and young people who could be at serious risk of harm from their family or responsible guardian if some information (such as use of the contraceptive pill) is inadvertently disclosed.</w:t>
      </w:r>
    </w:p>
    <w:p w14:paraId="437F62AA" w14:textId="77777777" w:rsidR="00085AA2" w:rsidRDefault="00085AA2" w:rsidP="00085AA2">
      <w:pPr>
        <w:pStyle w:val="BodyText"/>
        <w:spacing w:before="120" w:line="300" w:lineRule="auto"/>
      </w:pPr>
      <w:r>
        <w:t xml:space="preserve">Where someone is seeking proxy access as a parent on behalf of their child, care has to be taken to determine if they have parental rights (see above).  Care must also be taken if a parent has no or limited legal right of access because they have been perpetrators of abuse and/or neglect.  It may be helpful to consult practice staff and other health and care professionals who know the family well, including safeguarding leads and Named GPs.  </w:t>
      </w:r>
    </w:p>
    <w:p w14:paraId="08F8DF70" w14:textId="77777777" w:rsidR="00085AA2" w:rsidRDefault="00085AA2" w:rsidP="00085AA2">
      <w:pPr>
        <w:pStyle w:val="BodyText"/>
        <w:spacing w:before="120" w:line="300" w:lineRule="auto"/>
      </w:pPr>
      <w:r>
        <w:t>Young people living in certain circumstances such as within an extended family or cared for in institutions such as children’s homes or care homes may have no opportunity to view their records in conditions of privacy.  Similarly, patients who are illiterate in English might be forced to use family members as interpreters, as is currently the case with consultations in certain ethnic communities.  In such circumstances record access for the child or through a proxy could create new safeguarding risks.  If an abuser becomes aware that abuse has been detected, the risk of harm to the child is increased.</w:t>
      </w:r>
    </w:p>
    <w:p w14:paraId="79ED490B" w14:textId="41D51374" w:rsidR="00085AA2" w:rsidRPr="00085AA2" w:rsidRDefault="00085AA2" w:rsidP="00085AA2">
      <w:pPr>
        <w:pStyle w:val="BodyText"/>
        <w:spacing w:before="120" w:line="300" w:lineRule="auto"/>
      </w:pPr>
      <w:r>
        <w:t xml:space="preserve">The decision to allow proxy access should usually be taken by the GP who knows the child and family best and must consider if the proxy access could be used by someone who may use it to further abuse of the child.  </w:t>
      </w:r>
    </w:p>
    <w:p w14:paraId="1F1828BA" w14:textId="77777777" w:rsidR="00085AA2" w:rsidRPr="009227EF" w:rsidRDefault="00085AA2" w:rsidP="00085AA2">
      <w:pPr>
        <w:pStyle w:val="Heading2"/>
        <w:spacing w:before="240" w:line="300" w:lineRule="auto"/>
        <w:rPr>
          <w:rFonts w:ascii="Lato" w:hAnsi="Lato"/>
          <w:b w:val="0"/>
          <w:bCs w:val="0"/>
          <w:color w:val="000000" w:themeColor="text1"/>
          <w:sz w:val="32"/>
          <w:szCs w:val="32"/>
        </w:rPr>
      </w:pPr>
      <w:r w:rsidRPr="5F941D80">
        <w:rPr>
          <w:rFonts w:ascii="Lato" w:hAnsi="Lato"/>
          <w:b w:val="0"/>
          <w:bCs w:val="0"/>
          <w:color w:val="000000" w:themeColor="text1"/>
          <w:sz w:val="32"/>
          <w:szCs w:val="32"/>
        </w:rPr>
        <w:t>Approaching a child’s 11th birthday – The first milestone</w:t>
      </w:r>
    </w:p>
    <w:p w14:paraId="7CDF399D" w14:textId="77777777" w:rsidR="00085AA2" w:rsidRDefault="00085AA2" w:rsidP="00085AA2">
      <w:pPr>
        <w:pStyle w:val="BodyText"/>
        <w:spacing w:before="120" w:line="300" w:lineRule="auto"/>
      </w:pPr>
      <w:r>
        <w:t>Up until a child’s 11th birthday, the parents of the child will usually control access to their child’s record and GP Online Services.</w:t>
      </w:r>
    </w:p>
    <w:p w14:paraId="1AB23845" w14:textId="77777777" w:rsidR="00085AA2" w:rsidRDefault="00085AA2" w:rsidP="00085AA2">
      <w:pPr>
        <w:pStyle w:val="BodyText"/>
        <w:spacing w:before="120" w:line="300" w:lineRule="auto"/>
      </w:pPr>
      <w:r>
        <w:t>Access to the record should be switched off automatically when the child reaches the age of 11. This avoids the possibility of:</w:t>
      </w:r>
    </w:p>
    <w:p w14:paraId="422568D6" w14:textId="77777777" w:rsidR="00085AA2" w:rsidRDefault="00085AA2" w:rsidP="00085AA2">
      <w:pPr>
        <w:pStyle w:val="ListParagraph"/>
        <w:numPr>
          <w:ilvl w:val="0"/>
          <w:numId w:val="6"/>
        </w:numPr>
        <w:spacing w:before="120" w:line="300" w:lineRule="auto"/>
      </w:pPr>
      <w:r>
        <w:t>Sudden withdrawal of proxy access by the practice alerting the parents to the possibility that the child or young person has been to the practice about something that they wish to remain private, an example may be family planning advice.</w:t>
      </w:r>
    </w:p>
    <w:p w14:paraId="3033B54E" w14:textId="77777777" w:rsidR="00085AA2" w:rsidRDefault="00085AA2" w:rsidP="00085AA2">
      <w:pPr>
        <w:pStyle w:val="ListParagraph"/>
        <w:numPr>
          <w:ilvl w:val="0"/>
          <w:numId w:val="7"/>
        </w:numPr>
        <w:spacing w:before="120" w:line="300" w:lineRule="auto"/>
      </w:pPr>
      <w:r>
        <w:lastRenderedPageBreak/>
        <w:t xml:space="preserve">   The young person being deterred from coming to the practice for help.</w:t>
      </w:r>
    </w:p>
    <w:p w14:paraId="4ABF49D3" w14:textId="77777777" w:rsidR="00085AA2" w:rsidRDefault="00085AA2" w:rsidP="00085AA2">
      <w:pPr>
        <w:pStyle w:val="BodyText"/>
        <w:spacing w:before="120" w:line="300" w:lineRule="auto"/>
      </w:pPr>
      <w:r>
        <w:t>Parents/Guardians may continue to be allowed proxy access to their child’s online services, after careful discussion with the GP, if it is felt to be in the child’s best interests.</w:t>
      </w:r>
    </w:p>
    <w:p w14:paraId="27801159" w14:textId="77777777" w:rsidR="00085AA2" w:rsidRDefault="00085AA2" w:rsidP="00085AA2">
      <w:pPr>
        <w:pStyle w:val="BodyText"/>
        <w:spacing w:before="120" w:line="300" w:lineRule="auto"/>
      </w:pPr>
      <w:r>
        <w:t>A practice may want to contact parents or guardians who have proxy access for a child, who is approaching their 11th birthday, to remind them that their access on behalf of their child is coming to an end and to invite them and their child to come to the surgery for a discussion about the reasons why proxy access has been withdrawn.</w:t>
      </w:r>
    </w:p>
    <w:p w14:paraId="77265A2C" w14:textId="77777777" w:rsidR="00085AA2" w:rsidRDefault="00085AA2" w:rsidP="00085AA2">
      <w:pPr>
        <w:pStyle w:val="BodyText"/>
        <w:spacing w:before="120" w:line="300" w:lineRule="auto"/>
      </w:pPr>
    </w:p>
    <w:p w14:paraId="155E37D5" w14:textId="77777777" w:rsidR="00085AA2" w:rsidRPr="009227EF" w:rsidRDefault="00085AA2" w:rsidP="00085AA2">
      <w:pPr>
        <w:pStyle w:val="BodyText"/>
        <w:spacing w:before="120" w:line="300" w:lineRule="auto"/>
        <w:rPr>
          <w:rFonts w:ascii="Lato" w:hAnsi="Lato"/>
          <w:color w:val="000000" w:themeColor="text1"/>
          <w:sz w:val="32"/>
          <w:szCs w:val="32"/>
        </w:rPr>
      </w:pPr>
      <w:r w:rsidRPr="009227EF">
        <w:rPr>
          <w:rFonts w:ascii="Lato" w:hAnsi="Lato"/>
          <w:color w:val="000000" w:themeColor="text1"/>
          <w:sz w:val="32"/>
          <w:szCs w:val="32"/>
        </w:rPr>
        <w:t>Between the 11th and 16th birthdays</w:t>
      </w:r>
    </w:p>
    <w:p w14:paraId="5A90A4F1" w14:textId="77777777" w:rsidR="00085AA2" w:rsidRDefault="00085AA2" w:rsidP="00085AA2">
      <w:pPr>
        <w:pStyle w:val="BodyText"/>
        <w:spacing w:before="120" w:line="300" w:lineRule="auto"/>
      </w:pPr>
      <w:r>
        <w:t>Decisions made at the first milestone can be re-considered and changed later.  Each case must be considered individually with the interests of the child being paramount.  For example, for parents with GP online services access on behalf of children and young people with long term conditions that require regular monitoring and medication it would be appropriate for continued access after the 11th birthday, but this must be balanced against the challenges that may arise as the young person becomes competent to make their own decisions about their healthcare.</w:t>
      </w:r>
    </w:p>
    <w:p w14:paraId="7A14A516" w14:textId="77777777" w:rsidR="00085AA2" w:rsidRDefault="00085AA2" w:rsidP="00085AA2">
      <w:pPr>
        <w:pStyle w:val="BodyText"/>
        <w:spacing w:before="120" w:line="300" w:lineRule="auto"/>
      </w:pPr>
      <w:r>
        <w:t xml:space="preserve">The young person may decide, once they are competent to act autonomously.  Parental rights yield to the child’s right to make their own decisions when they reach a sufficient understanding and maturity to be capable of making up their own mind on matters requiring decisions.  The decision about the capacity of young people can be complex.  In particular, learning difficulties may not be well documented.  It may also be difficult to identify coercion of a young person to allow parental or carer access. </w:t>
      </w:r>
    </w:p>
    <w:p w14:paraId="050E40A5" w14:textId="77777777" w:rsidR="00085AA2" w:rsidRPr="00414A9D" w:rsidRDefault="00085AA2" w:rsidP="00085AA2">
      <w:pPr>
        <w:pStyle w:val="BodyText"/>
        <w:spacing w:before="120" w:line="300" w:lineRule="auto"/>
        <w:rPr>
          <w:color w:val="00B050"/>
        </w:rPr>
      </w:pPr>
      <w:r w:rsidRPr="4669421C">
        <w:rPr>
          <w:color w:val="00B050"/>
        </w:rPr>
        <w:t>Ref: Gillick or Fraser? A plea for consistency over competence in children</w:t>
      </w:r>
      <w:r w:rsidRPr="4669421C">
        <w:rPr>
          <w:color w:val="00B050"/>
          <w:u w:val="single"/>
        </w:rPr>
        <w:t>,</w:t>
      </w:r>
      <w:r w:rsidRPr="4669421C">
        <w:rPr>
          <w:color w:val="00B050"/>
        </w:rPr>
        <w:t xml:space="preserve"> BMJ 2006;332:807, https://www.bmj.com/content/332/7545/807 (accessed 15 March 2022).</w:t>
      </w:r>
    </w:p>
    <w:p w14:paraId="0ED2B2F7" w14:textId="77777777" w:rsidR="00085AA2" w:rsidRDefault="00085AA2" w:rsidP="00085AA2">
      <w:pPr>
        <w:pStyle w:val="BodyText"/>
        <w:spacing w:before="120" w:line="300" w:lineRule="auto"/>
      </w:pPr>
      <w:r>
        <w:t>The age at which a young person becomes competent to make autonomous decisions about their healthcare, including who should have access to their GP online services, will vary from person to person.  Where a parent, guardian or carer has proxy access to the online services of a young person after their 11th birthday, the child’s competence to make an independent and informed decision about proxy access should be re-assessed regularly, perhaps on an annual basis or on request by the patient or the proxies.  It may be possible to plan for proxy access to be withdrawn at some time in the future.</w:t>
      </w:r>
    </w:p>
    <w:p w14:paraId="442869F9" w14:textId="77777777" w:rsidR="00085AA2" w:rsidRDefault="00085AA2" w:rsidP="00085AA2">
      <w:pPr>
        <w:pStyle w:val="BodyText"/>
        <w:spacing w:before="120" w:line="300" w:lineRule="auto"/>
      </w:pPr>
      <w:r>
        <w:t>The competent young person may decide to:</w:t>
      </w:r>
    </w:p>
    <w:p w14:paraId="5D7650CB" w14:textId="77777777" w:rsidR="00085AA2" w:rsidRDefault="00085AA2" w:rsidP="00085AA2">
      <w:pPr>
        <w:pStyle w:val="ListParagraph"/>
        <w:numPr>
          <w:ilvl w:val="0"/>
          <w:numId w:val="9"/>
        </w:numPr>
        <w:spacing w:before="120" w:line="300" w:lineRule="auto"/>
      </w:pPr>
      <w:r>
        <w:t>Stop their parents’ proxy access to their online services, where the parents still have access after the 11th birthday</w:t>
      </w:r>
    </w:p>
    <w:p w14:paraId="1F0665B2" w14:textId="77777777" w:rsidR="00085AA2" w:rsidRDefault="00085AA2" w:rsidP="00085AA2">
      <w:pPr>
        <w:pStyle w:val="ListParagraph"/>
        <w:numPr>
          <w:ilvl w:val="0"/>
          <w:numId w:val="9"/>
        </w:numPr>
        <w:spacing w:before="120" w:line="300" w:lineRule="auto"/>
      </w:pPr>
      <w:r>
        <w:t>Allow their parents to have access to their online services, or to allow limited proxy access to specific services, perhaps restricting proxy access to only book appointments or request repeat prescriptions</w:t>
      </w:r>
    </w:p>
    <w:p w14:paraId="5378315C" w14:textId="77777777" w:rsidR="00085AA2" w:rsidRDefault="00085AA2" w:rsidP="00085AA2">
      <w:pPr>
        <w:pStyle w:val="ListParagraph"/>
        <w:numPr>
          <w:ilvl w:val="0"/>
          <w:numId w:val="9"/>
        </w:numPr>
        <w:spacing w:before="120" w:line="300" w:lineRule="auto"/>
      </w:pPr>
      <w:r>
        <w:t>Request access to their online services where nobody currently has access</w:t>
      </w:r>
    </w:p>
    <w:p w14:paraId="450A6C24" w14:textId="77777777" w:rsidR="00085AA2" w:rsidRDefault="00085AA2" w:rsidP="00085AA2">
      <w:pPr>
        <w:pStyle w:val="ListParagraph"/>
        <w:numPr>
          <w:ilvl w:val="0"/>
          <w:numId w:val="9"/>
        </w:numPr>
        <w:spacing w:before="120" w:line="300" w:lineRule="auto"/>
      </w:pPr>
      <w:r>
        <w:t>Switch off all online access, including parental proxy access, until such time as the young person chooses to request access.</w:t>
      </w:r>
    </w:p>
    <w:p w14:paraId="3BE37320" w14:textId="77777777" w:rsidR="00085AA2" w:rsidRDefault="00085AA2" w:rsidP="00085AA2">
      <w:pPr>
        <w:pStyle w:val="ListParagraph"/>
        <w:tabs>
          <w:tab w:val="left" w:pos="380"/>
        </w:tabs>
        <w:spacing w:before="120" w:line="300" w:lineRule="auto"/>
        <w:ind w:left="0" w:firstLine="0"/>
      </w:pPr>
    </w:p>
    <w:p w14:paraId="1FC4687F" w14:textId="77777777" w:rsidR="00085AA2" w:rsidRPr="009227EF" w:rsidRDefault="00085AA2" w:rsidP="00085AA2">
      <w:pPr>
        <w:pStyle w:val="ListParagraph"/>
        <w:tabs>
          <w:tab w:val="left" w:pos="380"/>
        </w:tabs>
        <w:spacing w:before="120" w:line="300" w:lineRule="auto"/>
        <w:ind w:left="0" w:firstLine="0"/>
        <w:rPr>
          <w:rFonts w:ascii="Lato" w:hAnsi="Lato"/>
          <w:color w:val="000000" w:themeColor="text1"/>
          <w:sz w:val="32"/>
          <w:szCs w:val="32"/>
        </w:rPr>
      </w:pPr>
      <w:r w:rsidRPr="5F941D80">
        <w:rPr>
          <w:rFonts w:ascii="Lato" w:hAnsi="Lato"/>
          <w:color w:val="000000" w:themeColor="text1"/>
          <w:sz w:val="32"/>
          <w:szCs w:val="32"/>
        </w:rPr>
        <w:t>Approaching a young person’s 16th birthday - The second milestone</w:t>
      </w:r>
    </w:p>
    <w:p w14:paraId="4CE989C2" w14:textId="77777777" w:rsidR="00085AA2" w:rsidRPr="00C3134A" w:rsidRDefault="00085AA2" w:rsidP="00085AA2">
      <w:pPr>
        <w:pStyle w:val="BodyText"/>
        <w:spacing w:before="120" w:line="300" w:lineRule="auto"/>
      </w:pPr>
      <w:r w:rsidRPr="00C3134A">
        <w:t>Once a young person turns 16, by default the previous competence assessment is no longer applicable as they are assumed to have capacity unless there is an indication to the contrary.  If they have an account or set up an account for GP Online Services, they will automatically have prospective record access.</w:t>
      </w:r>
    </w:p>
    <w:p w14:paraId="3656A51A" w14:textId="77777777" w:rsidR="00085AA2" w:rsidRPr="00C3134A" w:rsidRDefault="00085AA2" w:rsidP="00085AA2">
      <w:pPr>
        <w:pStyle w:val="BodyText"/>
        <w:spacing w:before="120" w:line="300" w:lineRule="auto"/>
      </w:pPr>
      <w:r w:rsidRPr="00C3134A">
        <w:t xml:space="preserve">Where parents or guardians still have access to their child’s online services when the child reaches their 16th birthday, the proxy access should be reviewed.  </w:t>
      </w:r>
    </w:p>
    <w:p w14:paraId="3508B72E" w14:textId="77777777" w:rsidR="00085AA2" w:rsidRPr="00C3134A" w:rsidRDefault="00085AA2" w:rsidP="00085AA2">
      <w:pPr>
        <w:pStyle w:val="BodyText"/>
        <w:widowControl w:val="0"/>
        <w:numPr>
          <w:ilvl w:val="0"/>
          <w:numId w:val="11"/>
        </w:numPr>
        <w:spacing w:before="120" w:after="0" w:line="300" w:lineRule="auto"/>
      </w:pPr>
      <w:r w:rsidRPr="00C3134A">
        <w:t>If the young person is not competent to make a decision about access at this age, for example if they have a severe learning disability, and it would be in the child’s best interests for the parents to retain access, they may do so.</w:t>
      </w:r>
    </w:p>
    <w:p w14:paraId="2A68264C" w14:textId="77777777" w:rsidR="00085AA2" w:rsidRPr="00C3134A" w:rsidRDefault="00085AA2" w:rsidP="00085AA2">
      <w:pPr>
        <w:pStyle w:val="BodyText"/>
        <w:widowControl w:val="0"/>
        <w:numPr>
          <w:ilvl w:val="0"/>
          <w:numId w:val="11"/>
        </w:numPr>
        <w:spacing w:before="120" w:after="0" w:line="300" w:lineRule="auto"/>
      </w:pPr>
      <w:r w:rsidRPr="00C3134A">
        <w:t>If the young person consents for their parents to continue to have proxy access.  It may be helpful to offer the 16-year-old their own personal GP Online Services account, following the usual protocols for identity verification, to reflect their new autonomy.</w:t>
      </w:r>
    </w:p>
    <w:p w14:paraId="401B229F" w14:textId="1516A0D5" w:rsidR="00085AA2" w:rsidRPr="00E431A6" w:rsidRDefault="00085AA2" w:rsidP="00E431A6">
      <w:pPr>
        <w:pStyle w:val="BodyText"/>
        <w:spacing w:before="120" w:line="300" w:lineRule="auto"/>
        <w:rPr>
          <w:rFonts w:eastAsia="Arial" w:cs="Arial"/>
        </w:rPr>
      </w:pPr>
      <w:r w:rsidRPr="00C3134A">
        <w:t>Where a young person has already been given access to their GP Online Services before their 16th birthday, and their parents or guardian do not have access, there is no need to make any changes unless the young person wishes to do so or it would be unsafe for the patient to have automatic record access on their 16</w:t>
      </w:r>
      <w:r w:rsidRPr="00C3134A">
        <w:rPr>
          <w:vertAlign w:val="superscript"/>
        </w:rPr>
        <w:t>th</w:t>
      </w:r>
      <w:r w:rsidRPr="00C3134A">
        <w:t xml:space="preserve"> birthday, </w:t>
      </w:r>
      <w:r w:rsidRPr="00C3134A">
        <w:rPr>
          <w:rFonts w:eastAsia="Arial" w:cs="Arial"/>
        </w:rPr>
        <w:t xml:space="preserve">you can prevent access being automatically switched on by entering a SNOMED CT term to their record: </w:t>
      </w:r>
      <w:r w:rsidRPr="00C3134A">
        <w:rPr>
          <w:rFonts w:eastAsia="Arial" w:cs="Arial"/>
          <w:i/>
          <w:iCs/>
        </w:rPr>
        <w:t>Enhanced review indicated before granting access to own health record</w:t>
      </w:r>
      <w:r w:rsidRPr="00C3134A">
        <w:rPr>
          <w:rFonts w:eastAsia="Arial" w:cs="Arial"/>
        </w:rPr>
        <w:t xml:space="preserve"> (1364731000000104). This must be done before their 16th birthday.  The patient will continue to have access to appointment booking and repeat prescriptions.</w:t>
      </w:r>
    </w:p>
    <w:sectPr w:rsidR="00085AA2" w:rsidRPr="00E431A6" w:rsidSect="00085AA2">
      <w:headerReference w:type="even" r:id="rId12"/>
      <w:headerReference w:type="default" r:id="rId13"/>
      <w:footerReference w:type="default" r:id="rId14"/>
      <w:headerReference w:type="first" r:id="rId15"/>
      <w:footerReference w:type="first" r:id="rId16"/>
      <w:pgSz w:w="11906" w:h="16838"/>
      <w:pgMar w:top="720" w:right="720" w:bottom="720" w:left="720" w:header="709" w:footer="3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D886" w14:textId="77777777" w:rsidR="000C4A7C" w:rsidRDefault="000C4A7C">
      <w:r>
        <w:separator/>
      </w:r>
    </w:p>
  </w:endnote>
  <w:endnote w:type="continuationSeparator" w:id="0">
    <w:p w14:paraId="2FAC0607" w14:textId="77777777" w:rsidR="000C4A7C" w:rsidRDefault="000C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888396"/>
      <w:docPartObj>
        <w:docPartGallery w:val="Page Numbers (Bottom of Page)"/>
        <w:docPartUnique/>
      </w:docPartObj>
    </w:sdtPr>
    <w:sdtEndPr>
      <w:rPr>
        <w:noProof/>
      </w:rPr>
    </w:sdtEndPr>
    <w:sdtContent>
      <w:p w14:paraId="742854B5" w14:textId="7DC6BB1E" w:rsidR="006C15ED" w:rsidRPr="00385782" w:rsidRDefault="006C15ED" w:rsidP="00D00D2C">
        <w:pPr>
          <w:pStyle w:val="Footer"/>
          <w:tabs>
            <w:tab w:val="clear" w:pos="4513"/>
            <w:tab w:val="clear" w:pos="9026"/>
          </w:tabs>
        </w:pPr>
        <w:r>
          <w:tab/>
        </w:r>
        <w:r>
          <w:tab/>
        </w:r>
        <w:r>
          <w:tab/>
        </w:r>
        <w:r>
          <w:tab/>
        </w:r>
        <w:r>
          <w:tab/>
        </w:r>
        <w:r>
          <w:tab/>
        </w:r>
        <w:r>
          <w:tab/>
        </w:r>
        <w:r>
          <w:tab/>
        </w:r>
        <w:r>
          <w:tab/>
        </w: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461835"/>
      <w:docPartObj>
        <w:docPartGallery w:val="Page Numbers (Bottom of Page)"/>
        <w:docPartUnique/>
      </w:docPartObj>
    </w:sdtPr>
    <w:sdtEndPr>
      <w:rPr>
        <w:noProof/>
      </w:rPr>
    </w:sdtEndPr>
    <w:sdtContent>
      <w:p w14:paraId="018310B1" w14:textId="0A0AAC60" w:rsidR="006C15ED" w:rsidRDefault="00085AA2" w:rsidP="0021039D">
        <w:pPr>
          <w:pStyle w:val="Footer"/>
          <w:tabs>
            <w:tab w:val="clear" w:pos="9026"/>
            <w:tab w:val="right" w:pos="9639"/>
          </w:tabs>
        </w:pPr>
        <w:r>
          <w:t>Central and Thorpe Surgey</w:t>
        </w:r>
        <w:r w:rsidR="005330BD">
          <w:t>: Consent to proxy access to GP online services</w:t>
        </w:r>
      </w:p>
    </w:sdtContent>
  </w:sdt>
  <w:p w14:paraId="1C23FCF7" w14:textId="77777777" w:rsidR="006C15ED" w:rsidRPr="00982AE7" w:rsidRDefault="006C15ED" w:rsidP="00336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457B9" w14:textId="77777777" w:rsidR="000C4A7C" w:rsidRDefault="000C4A7C">
      <w:r>
        <w:separator/>
      </w:r>
    </w:p>
  </w:footnote>
  <w:footnote w:type="continuationSeparator" w:id="0">
    <w:p w14:paraId="12F02FC4" w14:textId="77777777" w:rsidR="000C4A7C" w:rsidRDefault="000C4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7EFF" w14:textId="77777777" w:rsidR="006C15ED" w:rsidRDefault="006C15ED" w:rsidP="003362F6">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83F6" w14:textId="71E4501E" w:rsidR="006C15ED" w:rsidRDefault="006C15ED" w:rsidP="003362F6">
    <w:pPr>
      <w:pStyle w:val="Heade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1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3"/>
      <w:gridCol w:w="4929"/>
    </w:tblGrid>
    <w:tr w:rsidR="00085AA2" w14:paraId="00926D76" w14:textId="77777777" w:rsidTr="007B395D">
      <w:trPr>
        <w:trHeight w:val="1691"/>
      </w:trPr>
      <w:tc>
        <w:tcPr>
          <w:tcW w:w="5283" w:type="dxa"/>
        </w:tcPr>
        <w:p w14:paraId="5241207A" w14:textId="77777777" w:rsidR="00085AA2" w:rsidRDefault="00085AA2" w:rsidP="00085AA2">
          <w:pPr>
            <w:pStyle w:val="Header"/>
          </w:pPr>
          <w:r>
            <w:rPr>
              <w:noProof/>
            </w:rPr>
            <w:drawing>
              <wp:inline distT="0" distB="0" distL="0" distR="0" wp14:anchorId="5A2E38F9" wp14:editId="3A4C9A76">
                <wp:extent cx="1219200" cy="800100"/>
                <wp:effectExtent l="0" t="0" r="0" b="0"/>
                <wp:docPr id="3" name="Picture 3" descr="Description: Description: Description: Macintosh HD:private:var:folders:h2:jc67l6zd0wv73hbt0r860vtc0000gn:T:TemporaryItems:1j+ojl1FOMkX9WypfBe43D6kjfeJqxZHmRfJwXs1M3EMoAJtlSApgfpo8fw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Macintosh HD:private:var:folders:h2:jc67l6zd0wv73hbt0r860vtc0000gn:T:TemporaryItems:1j+ojl1FOMkX9WypfBe43D6kjfeJqxZHmRfJwXs1M3EMoAJtlSApgfpo8fw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00100"/>
                        </a:xfrm>
                        <a:prstGeom prst="rect">
                          <a:avLst/>
                        </a:prstGeom>
                        <a:noFill/>
                        <a:ln>
                          <a:noFill/>
                        </a:ln>
                      </pic:spPr>
                    </pic:pic>
                  </a:graphicData>
                </a:graphic>
              </wp:inline>
            </w:drawing>
          </w:r>
        </w:p>
      </w:tc>
      <w:tc>
        <w:tcPr>
          <w:tcW w:w="4929" w:type="dxa"/>
        </w:tcPr>
        <w:p w14:paraId="2787B9B2" w14:textId="77777777" w:rsidR="00085AA2" w:rsidRPr="00243FEF" w:rsidRDefault="00085AA2" w:rsidP="00085AA2">
          <w:pPr>
            <w:kinsoku w:val="0"/>
            <w:overflowPunct w:val="0"/>
            <w:jc w:val="right"/>
            <w:textAlignment w:val="baseline"/>
            <w:rPr>
              <w:rFonts w:ascii="Times" w:eastAsia="Yu Mincho" w:hAnsi="Times"/>
            </w:rPr>
          </w:pPr>
          <w:r w:rsidRPr="00243FEF">
            <w:rPr>
              <w:rFonts w:eastAsia="MS PGothic" w:cs="Calibri"/>
              <w:b/>
              <w:bCs/>
              <w:color w:val="0000FF"/>
              <w:kern w:val="24"/>
            </w:rPr>
            <w:t>Central Surgery</w:t>
          </w:r>
        </w:p>
        <w:p w14:paraId="1CEB9F2F" w14:textId="77777777" w:rsidR="00085AA2" w:rsidRPr="00243FEF" w:rsidRDefault="00085AA2" w:rsidP="00085AA2">
          <w:pPr>
            <w:kinsoku w:val="0"/>
            <w:overflowPunct w:val="0"/>
            <w:jc w:val="right"/>
            <w:textAlignment w:val="baseline"/>
            <w:rPr>
              <w:rFonts w:eastAsia="MS PGothic" w:cs="Calibri"/>
              <w:kern w:val="24"/>
              <w:sz w:val="18"/>
              <w:szCs w:val="18"/>
            </w:rPr>
          </w:pPr>
          <w:r w:rsidRPr="00243FEF">
            <w:rPr>
              <w:rFonts w:eastAsia="MS PGothic" w:cs="Calibri"/>
              <w:kern w:val="24"/>
              <w:sz w:val="18"/>
              <w:szCs w:val="18"/>
            </w:rPr>
            <w:t>1</w:t>
          </w:r>
          <w:r w:rsidRPr="00243FEF">
            <w:rPr>
              <w:rFonts w:eastAsia="MS PGothic" w:cs="Calibri"/>
              <w:kern w:val="24"/>
              <w:sz w:val="18"/>
              <w:szCs w:val="18"/>
              <w:vertAlign w:val="superscript"/>
            </w:rPr>
            <w:t>st</w:t>
          </w:r>
          <w:r w:rsidRPr="00243FEF">
            <w:rPr>
              <w:rFonts w:eastAsia="MS PGothic" w:cs="Calibri"/>
              <w:kern w:val="24"/>
              <w:sz w:val="18"/>
              <w:szCs w:val="18"/>
            </w:rPr>
            <w:t xml:space="preserve"> Floor, North Road Primary Care Centre</w:t>
          </w:r>
        </w:p>
        <w:p w14:paraId="1646866C" w14:textId="77777777" w:rsidR="00085AA2" w:rsidRPr="00243FEF" w:rsidRDefault="00085AA2" w:rsidP="00085AA2">
          <w:pPr>
            <w:kinsoku w:val="0"/>
            <w:overflowPunct w:val="0"/>
            <w:jc w:val="right"/>
            <w:textAlignment w:val="baseline"/>
            <w:rPr>
              <w:rFonts w:eastAsia="MS PGothic" w:cs="Calibri"/>
              <w:kern w:val="24"/>
              <w:sz w:val="18"/>
              <w:szCs w:val="18"/>
            </w:rPr>
          </w:pPr>
          <w:r w:rsidRPr="00243FEF">
            <w:rPr>
              <w:rFonts w:eastAsia="MS PGothic" w:cs="Calibri"/>
              <w:kern w:val="24"/>
              <w:sz w:val="18"/>
              <w:szCs w:val="18"/>
            </w:rPr>
            <w:t>183-195 North Road</w:t>
          </w:r>
        </w:p>
        <w:p w14:paraId="2A9FA77D" w14:textId="77777777" w:rsidR="00085AA2" w:rsidRPr="00243FEF" w:rsidRDefault="00085AA2" w:rsidP="00085AA2">
          <w:pPr>
            <w:kinsoku w:val="0"/>
            <w:overflowPunct w:val="0"/>
            <w:jc w:val="right"/>
            <w:textAlignment w:val="baseline"/>
            <w:rPr>
              <w:rFonts w:eastAsia="MS PGothic" w:cs="Calibri"/>
              <w:kern w:val="24"/>
              <w:sz w:val="18"/>
              <w:szCs w:val="18"/>
            </w:rPr>
          </w:pPr>
          <w:r w:rsidRPr="00243FEF">
            <w:rPr>
              <w:rFonts w:eastAsia="MS PGothic" w:cs="Calibri"/>
              <w:kern w:val="24"/>
              <w:sz w:val="18"/>
              <w:szCs w:val="18"/>
            </w:rPr>
            <w:t>Westcliffe-on-Sea,</w:t>
          </w:r>
        </w:p>
        <w:p w14:paraId="49E94079" w14:textId="77777777" w:rsidR="00085AA2" w:rsidRPr="00243FEF" w:rsidRDefault="00085AA2" w:rsidP="00085AA2">
          <w:pPr>
            <w:kinsoku w:val="0"/>
            <w:overflowPunct w:val="0"/>
            <w:jc w:val="right"/>
            <w:textAlignment w:val="baseline"/>
            <w:rPr>
              <w:rFonts w:eastAsia="MS PGothic" w:cs="Calibri"/>
              <w:kern w:val="24"/>
              <w:sz w:val="18"/>
              <w:szCs w:val="18"/>
            </w:rPr>
          </w:pPr>
          <w:r w:rsidRPr="00243FEF">
            <w:rPr>
              <w:rFonts w:eastAsia="MS PGothic" w:cs="Calibri"/>
              <w:kern w:val="24"/>
              <w:sz w:val="18"/>
              <w:szCs w:val="18"/>
            </w:rPr>
            <w:t>Essex</w:t>
          </w:r>
        </w:p>
        <w:p w14:paraId="145B4889" w14:textId="77777777" w:rsidR="00085AA2" w:rsidRPr="00243FEF" w:rsidRDefault="00085AA2" w:rsidP="00085AA2">
          <w:pPr>
            <w:kinsoku w:val="0"/>
            <w:overflowPunct w:val="0"/>
            <w:jc w:val="right"/>
            <w:textAlignment w:val="baseline"/>
            <w:rPr>
              <w:rFonts w:eastAsia="Yu Mincho"/>
              <w:sz w:val="18"/>
              <w:szCs w:val="18"/>
            </w:rPr>
          </w:pPr>
          <w:r w:rsidRPr="00243FEF">
            <w:rPr>
              <w:rFonts w:eastAsia="MS PGothic" w:cs="Calibri"/>
              <w:kern w:val="24"/>
              <w:sz w:val="18"/>
              <w:szCs w:val="18"/>
            </w:rPr>
            <w:t>SS0 7AF</w:t>
          </w:r>
        </w:p>
        <w:p w14:paraId="0CFA7CCD" w14:textId="77777777" w:rsidR="00085AA2" w:rsidRPr="00AE6F1F" w:rsidRDefault="00085AA2" w:rsidP="00085AA2">
          <w:pPr>
            <w:kinsoku w:val="0"/>
            <w:overflowPunct w:val="0"/>
            <w:jc w:val="right"/>
            <w:textAlignment w:val="baseline"/>
            <w:rPr>
              <w:rFonts w:eastAsia="MS PGothic" w:cs="Calibri"/>
              <w:kern w:val="24"/>
              <w:sz w:val="18"/>
              <w:szCs w:val="18"/>
            </w:rPr>
          </w:pPr>
          <w:r w:rsidRPr="00243FEF">
            <w:rPr>
              <w:rFonts w:eastAsia="MS PGothic" w:cs="Calibri"/>
              <w:kern w:val="24"/>
              <w:sz w:val="18"/>
              <w:szCs w:val="18"/>
            </w:rPr>
            <w:t xml:space="preserve">Tel: 01702 342 589 </w:t>
          </w:r>
        </w:p>
      </w:tc>
    </w:tr>
  </w:tbl>
  <w:p w14:paraId="13E735ED" w14:textId="07303D9A" w:rsidR="006C15ED" w:rsidRPr="001F1457" w:rsidRDefault="006C15ED" w:rsidP="003362F6">
    <w:pPr>
      <w:pStyle w:val="Header"/>
      <w:jc w:val="both"/>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784"/>
    <w:multiLevelType w:val="hybridMultilevel"/>
    <w:tmpl w:val="9B28B9A8"/>
    <w:numStyleLink w:val="ImportedStyle3"/>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755F8"/>
    <w:multiLevelType w:val="hybridMultilevel"/>
    <w:tmpl w:val="AF18CEE2"/>
    <w:styleLink w:val="Numbered"/>
    <w:lvl w:ilvl="0" w:tplc="669AB1C8">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EAAA1854">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BA90A8BE">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0F349CD2">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98AB3FA">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F2EABC1C">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16E82740">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AEA7F0C">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46CC50A">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0C18E2"/>
    <w:multiLevelType w:val="hybridMultilevel"/>
    <w:tmpl w:val="9B28B9A8"/>
    <w:styleLink w:val="ImportedStyle3"/>
    <w:lvl w:ilvl="0" w:tplc="D7C64D78">
      <w:start w:val="1"/>
      <w:numFmt w:val="decimal"/>
      <w:lvlText w:val="%1."/>
      <w:lvlJc w:val="left"/>
      <w:pPr>
        <w:tabs>
          <w:tab w:val="left" w:pos="377"/>
        </w:tabs>
        <w:ind w:left="56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EBC61E6">
      <w:start w:val="1"/>
      <w:numFmt w:val="decimal"/>
      <w:lvlText w:val="%2."/>
      <w:lvlJc w:val="left"/>
      <w:pPr>
        <w:tabs>
          <w:tab w:val="left" w:pos="377"/>
        </w:tabs>
        <w:ind w:left="100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716D780">
      <w:start w:val="1"/>
      <w:numFmt w:val="decimal"/>
      <w:lvlText w:val="%3."/>
      <w:lvlJc w:val="left"/>
      <w:pPr>
        <w:tabs>
          <w:tab w:val="left" w:pos="377"/>
        </w:tabs>
        <w:ind w:left="172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C624AC8">
      <w:start w:val="1"/>
      <w:numFmt w:val="decimal"/>
      <w:lvlText w:val="%4."/>
      <w:lvlJc w:val="left"/>
      <w:pPr>
        <w:tabs>
          <w:tab w:val="left" w:pos="377"/>
        </w:tabs>
        <w:ind w:left="244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510382C">
      <w:start w:val="1"/>
      <w:numFmt w:val="decimal"/>
      <w:lvlText w:val="%5."/>
      <w:lvlJc w:val="left"/>
      <w:pPr>
        <w:tabs>
          <w:tab w:val="left" w:pos="377"/>
        </w:tabs>
        <w:ind w:left="316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B44FFF2">
      <w:start w:val="1"/>
      <w:numFmt w:val="decimal"/>
      <w:lvlText w:val="%6."/>
      <w:lvlJc w:val="left"/>
      <w:pPr>
        <w:tabs>
          <w:tab w:val="left" w:pos="377"/>
        </w:tabs>
        <w:ind w:left="388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27A85C2">
      <w:start w:val="1"/>
      <w:numFmt w:val="decimal"/>
      <w:lvlText w:val="%7."/>
      <w:lvlJc w:val="left"/>
      <w:pPr>
        <w:tabs>
          <w:tab w:val="left" w:pos="377"/>
        </w:tabs>
        <w:ind w:left="460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952D72E">
      <w:start w:val="1"/>
      <w:numFmt w:val="decimal"/>
      <w:lvlText w:val="%8."/>
      <w:lvlJc w:val="left"/>
      <w:pPr>
        <w:tabs>
          <w:tab w:val="left" w:pos="377"/>
        </w:tabs>
        <w:ind w:left="532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22478B4">
      <w:start w:val="1"/>
      <w:numFmt w:val="decimal"/>
      <w:lvlText w:val="%9."/>
      <w:lvlJc w:val="left"/>
      <w:pPr>
        <w:tabs>
          <w:tab w:val="left" w:pos="377"/>
        </w:tabs>
        <w:ind w:left="6043"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BEC71AA"/>
    <w:multiLevelType w:val="hybridMultilevel"/>
    <w:tmpl w:val="9A4CFC1E"/>
    <w:styleLink w:val="Bullets"/>
    <w:lvl w:ilvl="0" w:tplc="9A7AE1E8">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1FCE7AE8">
      <w:start w:val="1"/>
      <w:numFmt w:val="bullet"/>
      <w:lvlText w:val="•"/>
      <w:lvlJc w:val="left"/>
      <w:pPr>
        <w:tabs>
          <w:tab w:val="left" w:pos="455"/>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89A04FC2">
      <w:start w:val="1"/>
      <w:numFmt w:val="bullet"/>
      <w:lvlText w:val="•"/>
      <w:lvlJc w:val="left"/>
      <w:pPr>
        <w:tabs>
          <w:tab w:val="left" w:pos="455"/>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2B723392">
      <w:start w:val="1"/>
      <w:numFmt w:val="bullet"/>
      <w:lvlText w:val="•"/>
      <w:lvlJc w:val="left"/>
      <w:pPr>
        <w:tabs>
          <w:tab w:val="left" w:pos="455"/>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D19E50D0">
      <w:start w:val="1"/>
      <w:numFmt w:val="bullet"/>
      <w:lvlText w:val="•"/>
      <w:lvlJc w:val="left"/>
      <w:pPr>
        <w:tabs>
          <w:tab w:val="left" w:pos="455"/>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AC98DC48">
      <w:start w:val="1"/>
      <w:numFmt w:val="bullet"/>
      <w:lvlText w:val="•"/>
      <w:lvlJc w:val="left"/>
      <w:pPr>
        <w:tabs>
          <w:tab w:val="left" w:pos="455"/>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562F32A">
      <w:start w:val="1"/>
      <w:numFmt w:val="bullet"/>
      <w:lvlText w:val="•"/>
      <w:lvlJc w:val="left"/>
      <w:pPr>
        <w:tabs>
          <w:tab w:val="left" w:pos="455"/>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5484E630">
      <w:start w:val="1"/>
      <w:numFmt w:val="bullet"/>
      <w:lvlText w:val="•"/>
      <w:lvlJc w:val="left"/>
      <w:pPr>
        <w:tabs>
          <w:tab w:val="left" w:pos="455"/>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7292DE96">
      <w:start w:val="1"/>
      <w:numFmt w:val="bullet"/>
      <w:lvlText w:val="•"/>
      <w:lvlJc w:val="left"/>
      <w:pPr>
        <w:tabs>
          <w:tab w:val="left" w:pos="455"/>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0A42D68"/>
    <w:multiLevelType w:val="hybridMultilevel"/>
    <w:tmpl w:val="D33666AA"/>
    <w:lvl w:ilvl="0" w:tplc="1348FB8C">
      <w:start w:val="6"/>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7" w15:restartNumberingAfterBreak="0">
    <w:nsid w:val="6206407C"/>
    <w:multiLevelType w:val="hybridMultilevel"/>
    <w:tmpl w:val="AF18CEE2"/>
    <w:numStyleLink w:val="Numbered"/>
  </w:abstractNum>
  <w:abstractNum w:abstractNumId="8" w15:restartNumberingAfterBreak="0">
    <w:nsid w:val="7B2D4A01"/>
    <w:multiLevelType w:val="hybridMultilevel"/>
    <w:tmpl w:val="9A4CFC1E"/>
    <w:numStyleLink w:val="Bullets"/>
  </w:abstractNum>
  <w:num w:numId="1" w16cid:durableId="534123282">
    <w:abstractNumId w:val="5"/>
  </w:num>
  <w:num w:numId="2" w16cid:durableId="1948849129">
    <w:abstractNumId w:val="1"/>
  </w:num>
  <w:num w:numId="3" w16cid:durableId="573973305">
    <w:abstractNumId w:val="1"/>
    <w:lvlOverride w:ilvl="0">
      <w:startOverride w:val="1"/>
    </w:lvlOverride>
  </w:num>
  <w:num w:numId="4" w16cid:durableId="66467301">
    <w:abstractNumId w:val="6"/>
  </w:num>
  <w:num w:numId="5" w16cid:durableId="671417866">
    <w:abstractNumId w:val="4"/>
  </w:num>
  <w:num w:numId="6" w16cid:durableId="1505709344">
    <w:abstractNumId w:val="8"/>
  </w:num>
  <w:num w:numId="7" w16cid:durableId="812256802">
    <w:abstractNumId w:val="8"/>
    <w:lvlOverride w:ilvl="0">
      <w:lvl w:ilvl="0" w:tplc="9566CDB2">
        <w:start w:val="1"/>
        <w:numFmt w:val="bullet"/>
        <w:suff w:val="nothing"/>
        <w:lvlText w:val="•"/>
        <w:lvlJc w:val="left"/>
        <w:pPr>
          <w:tabs>
            <w:tab w:val="left" w:pos="373"/>
          </w:tabs>
          <w:ind w:left="283"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0303F00">
        <w:start w:val="1"/>
        <w:numFmt w:val="bullet"/>
        <w:lvlText w:val="•"/>
        <w:lvlJc w:val="left"/>
        <w:pPr>
          <w:tabs>
            <w:tab w:val="left" w:pos="373"/>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D424C44">
        <w:start w:val="1"/>
        <w:numFmt w:val="bullet"/>
        <w:lvlText w:val="•"/>
        <w:lvlJc w:val="left"/>
        <w:pPr>
          <w:tabs>
            <w:tab w:val="left" w:pos="373"/>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F6CC116">
        <w:start w:val="1"/>
        <w:numFmt w:val="bullet"/>
        <w:lvlText w:val="•"/>
        <w:lvlJc w:val="left"/>
        <w:pPr>
          <w:tabs>
            <w:tab w:val="left" w:pos="373"/>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74E7FFA">
        <w:start w:val="1"/>
        <w:numFmt w:val="bullet"/>
        <w:lvlText w:val="•"/>
        <w:lvlJc w:val="left"/>
        <w:pPr>
          <w:tabs>
            <w:tab w:val="left" w:pos="373"/>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E869952">
        <w:start w:val="1"/>
        <w:numFmt w:val="bullet"/>
        <w:lvlText w:val="•"/>
        <w:lvlJc w:val="left"/>
        <w:pPr>
          <w:tabs>
            <w:tab w:val="left" w:pos="373"/>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0366988">
        <w:start w:val="1"/>
        <w:numFmt w:val="bullet"/>
        <w:lvlText w:val="•"/>
        <w:lvlJc w:val="left"/>
        <w:pPr>
          <w:tabs>
            <w:tab w:val="left" w:pos="373"/>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B646946">
        <w:start w:val="1"/>
        <w:numFmt w:val="bullet"/>
        <w:lvlText w:val="•"/>
        <w:lvlJc w:val="left"/>
        <w:pPr>
          <w:tabs>
            <w:tab w:val="left" w:pos="373"/>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AE311C">
        <w:start w:val="1"/>
        <w:numFmt w:val="bullet"/>
        <w:lvlText w:val="•"/>
        <w:lvlJc w:val="left"/>
        <w:pPr>
          <w:tabs>
            <w:tab w:val="left" w:pos="373"/>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1902861868">
    <w:abstractNumId w:val="3"/>
  </w:num>
  <w:num w:numId="9" w16cid:durableId="186137016">
    <w:abstractNumId w:val="0"/>
  </w:num>
  <w:num w:numId="10" w16cid:durableId="103886447">
    <w:abstractNumId w:val="2"/>
  </w:num>
  <w:num w:numId="11" w16cid:durableId="372578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515"/>
    <w:rsid w:val="00002B3F"/>
    <w:rsid w:val="000130B0"/>
    <w:rsid w:val="00015CB2"/>
    <w:rsid w:val="000161C2"/>
    <w:rsid w:val="00025DE5"/>
    <w:rsid w:val="000447B9"/>
    <w:rsid w:val="000516DD"/>
    <w:rsid w:val="000563B2"/>
    <w:rsid w:val="00085AA2"/>
    <w:rsid w:val="000C4A7C"/>
    <w:rsid w:val="000E7594"/>
    <w:rsid w:val="000F49F5"/>
    <w:rsid w:val="001223DD"/>
    <w:rsid w:val="00122625"/>
    <w:rsid w:val="00135F3B"/>
    <w:rsid w:val="00147515"/>
    <w:rsid w:val="001B11FD"/>
    <w:rsid w:val="001B7518"/>
    <w:rsid w:val="0021039D"/>
    <w:rsid w:val="00236217"/>
    <w:rsid w:val="002602A5"/>
    <w:rsid w:val="00283F3B"/>
    <w:rsid w:val="002865B2"/>
    <w:rsid w:val="002960EB"/>
    <w:rsid w:val="002A3CF8"/>
    <w:rsid w:val="0033591D"/>
    <w:rsid w:val="003362F6"/>
    <w:rsid w:val="00375D0B"/>
    <w:rsid w:val="003827FE"/>
    <w:rsid w:val="00385782"/>
    <w:rsid w:val="00387AAF"/>
    <w:rsid w:val="003A0EAA"/>
    <w:rsid w:val="003D3F3C"/>
    <w:rsid w:val="00425ACE"/>
    <w:rsid w:val="00435270"/>
    <w:rsid w:val="00445312"/>
    <w:rsid w:val="0045197B"/>
    <w:rsid w:val="00473841"/>
    <w:rsid w:val="004C78F7"/>
    <w:rsid w:val="005330BD"/>
    <w:rsid w:val="00557100"/>
    <w:rsid w:val="00581712"/>
    <w:rsid w:val="005A4404"/>
    <w:rsid w:val="005B296B"/>
    <w:rsid w:val="005C2F4D"/>
    <w:rsid w:val="005C3A51"/>
    <w:rsid w:val="005E3D7E"/>
    <w:rsid w:val="005F214A"/>
    <w:rsid w:val="00616E43"/>
    <w:rsid w:val="00666E5B"/>
    <w:rsid w:val="00691977"/>
    <w:rsid w:val="006B1156"/>
    <w:rsid w:val="006C15ED"/>
    <w:rsid w:val="006C4674"/>
    <w:rsid w:val="006F089E"/>
    <w:rsid w:val="006F52D0"/>
    <w:rsid w:val="00706447"/>
    <w:rsid w:val="00781792"/>
    <w:rsid w:val="007864A8"/>
    <w:rsid w:val="00790F0C"/>
    <w:rsid w:val="007B564F"/>
    <w:rsid w:val="007E239E"/>
    <w:rsid w:val="007F44B6"/>
    <w:rsid w:val="0084219F"/>
    <w:rsid w:val="00876BAB"/>
    <w:rsid w:val="00892496"/>
    <w:rsid w:val="008A0300"/>
    <w:rsid w:val="008C5E68"/>
    <w:rsid w:val="008C6BF6"/>
    <w:rsid w:val="00901484"/>
    <w:rsid w:val="00925D78"/>
    <w:rsid w:val="00967767"/>
    <w:rsid w:val="0098040E"/>
    <w:rsid w:val="009C2779"/>
    <w:rsid w:val="009C6156"/>
    <w:rsid w:val="009E71E1"/>
    <w:rsid w:val="00A06714"/>
    <w:rsid w:val="00A255FF"/>
    <w:rsid w:val="00A2604E"/>
    <w:rsid w:val="00A47FFB"/>
    <w:rsid w:val="00A54514"/>
    <w:rsid w:val="00A566C7"/>
    <w:rsid w:val="00A56773"/>
    <w:rsid w:val="00A864E1"/>
    <w:rsid w:val="00AD6F09"/>
    <w:rsid w:val="00B13A4A"/>
    <w:rsid w:val="00B441CC"/>
    <w:rsid w:val="00B966CE"/>
    <w:rsid w:val="00BB78A4"/>
    <w:rsid w:val="00BD1533"/>
    <w:rsid w:val="00BD25E5"/>
    <w:rsid w:val="00BD7DAE"/>
    <w:rsid w:val="00C12995"/>
    <w:rsid w:val="00C20EAC"/>
    <w:rsid w:val="00C258E7"/>
    <w:rsid w:val="00C36B28"/>
    <w:rsid w:val="00CE5651"/>
    <w:rsid w:val="00D00D2C"/>
    <w:rsid w:val="00D07EE0"/>
    <w:rsid w:val="00D20A09"/>
    <w:rsid w:val="00D24AF4"/>
    <w:rsid w:val="00D6121D"/>
    <w:rsid w:val="00DB62BE"/>
    <w:rsid w:val="00E12742"/>
    <w:rsid w:val="00E37759"/>
    <w:rsid w:val="00E431A6"/>
    <w:rsid w:val="00E64B54"/>
    <w:rsid w:val="00E67B23"/>
    <w:rsid w:val="00F678EF"/>
    <w:rsid w:val="00FD53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239E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47515"/>
    <w:pPr>
      <w:keepNext/>
      <w:keepLines/>
      <w:numPr>
        <w:numId w:val="1"/>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1475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7515"/>
    <w:pPr>
      <w:keepNext/>
      <w:keepLines/>
      <w:spacing w:before="240" w:after="60" w:line="320" w:lineRule="exact"/>
      <w:outlineLvl w:val="2"/>
    </w:pPr>
    <w:rPr>
      <w:rFonts w:ascii="Calibri" w:eastAsiaTheme="majorEastAsia" w:hAnsi="Calibri" w:cs="Calibri"/>
      <w:b/>
      <w:bCs/>
      <w:color w:val="9900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515"/>
    <w:rPr>
      <w:rFonts w:ascii="Corbel" w:eastAsiaTheme="majorEastAsia" w:hAnsi="Corbel" w:cstheme="majorBidi"/>
      <w:b/>
      <w:bCs/>
      <w:i/>
      <w:color w:val="00517E"/>
      <w:sz w:val="32"/>
      <w:szCs w:val="28"/>
      <w:bdr w:val="nil"/>
      <w:lang w:val="en-US"/>
    </w:rPr>
  </w:style>
  <w:style w:type="character" w:customStyle="1" w:styleId="Heading2Char">
    <w:name w:val="Heading 2 Char"/>
    <w:basedOn w:val="DefaultParagraphFont"/>
    <w:link w:val="Heading2"/>
    <w:uiPriority w:val="9"/>
    <w:rsid w:val="00147515"/>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rsid w:val="00147515"/>
    <w:rPr>
      <w:rFonts w:ascii="Calibri" w:eastAsiaTheme="majorEastAsia" w:hAnsi="Calibri" w:cs="Calibri"/>
      <w:b/>
      <w:bCs/>
      <w:color w:val="990033"/>
      <w:sz w:val="26"/>
      <w:szCs w:val="26"/>
      <w:bdr w:val="nil"/>
      <w:lang w:val="en-US"/>
    </w:rPr>
  </w:style>
  <w:style w:type="paragraph" w:styleId="BodyText">
    <w:name w:val="Body Text"/>
    <w:basedOn w:val="Normal"/>
    <w:link w:val="BodyTextChar"/>
    <w:uiPriority w:val="99"/>
    <w:unhideWhenUsed/>
    <w:rsid w:val="00147515"/>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47515"/>
    <w:rPr>
      <w:rFonts w:ascii="Calibri" w:eastAsia="Arial Unicode MS" w:hAnsi="Calibri" w:cs="Calibri"/>
      <w:sz w:val="24"/>
      <w:szCs w:val="24"/>
      <w:bdr w:val="nil"/>
      <w:lang w:val="en-US"/>
    </w:rPr>
  </w:style>
  <w:style w:type="paragraph" w:styleId="Header">
    <w:name w:val="header"/>
    <w:basedOn w:val="Normal"/>
    <w:link w:val="HeaderChar"/>
    <w:unhideWhenUsed/>
    <w:rsid w:val="00147515"/>
    <w:pPr>
      <w:tabs>
        <w:tab w:val="center" w:pos="4513"/>
        <w:tab w:val="right" w:pos="9026"/>
      </w:tabs>
    </w:pPr>
  </w:style>
  <w:style w:type="character" w:customStyle="1" w:styleId="HeaderChar">
    <w:name w:val="Header Char"/>
    <w:basedOn w:val="DefaultParagraphFont"/>
    <w:link w:val="Header"/>
    <w:rsid w:val="00147515"/>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47515"/>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147515"/>
    <w:rPr>
      <w:rFonts w:ascii="Arial" w:eastAsia="Arial Unicode MS" w:hAnsi="Arial" w:cs="Arial"/>
      <w:sz w:val="18"/>
      <w:szCs w:val="24"/>
      <w:bdr w:val="nil"/>
      <w:lang w:val="en-US"/>
    </w:rPr>
  </w:style>
  <w:style w:type="table" w:styleId="TableGrid">
    <w:name w:val="Table Grid"/>
    <w:basedOn w:val="TableNormal"/>
    <w:rsid w:val="001475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uiPriority w:val="99"/>
    <w:unhideWhenUsed/>
    <w:rsid w:val="00147515"/>
    <w:pPr>
      <w:spacing w:after="0"/>
      <w:jc w:val="center"/>
    </w:pPr>
    <w:rPr>
      <w:i/>
      <w:color w:val="990033"/>
      <w:sz w:val="28"/>
    </w:rPr>
  </w:style>
  <w:style w:type="character" w:customStyle="1" w:styleId="BodyText2Char">
    <w:name w:val="Body Text 2 Char"/>
    <w:basedOn w:val="DefaultParagraphFont"/>
    <w:link w:val="BodyText2"/>
    <w:uiPriority w:val="99"/>
    <w:rsid w:val="00147515"/>
    <w:rPr>
      <w:rFonts w:ascii="Calibri" w:eastAsia="Arial Unicode MS" w:hAnsi="Calibri" w:cs="Calibri"/>
      <w:i/>
      <w:color w:val="990033"/>
      <w:sz w:val="28"/>
      <w:szCs w:val="24"/>
      <w:bdr w:val="nil"/>
      <w:lang w:val="en-US"/>
    </w:rPr>
  </w:style>
  <w:style w:type="paragraph" w:styleId="ListNumber">
    <w:name w:val="List Number"/>
    <w:basedOn w:val="BodyText"/>
    <w:uiPriority w:val="99"/>
    <w:unhideWhenUsed/>
    <w:rsid w:val="00147515"/>
    <w:pPr>
      <w:numPr>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0F243E" w:themeColor="text2" w:themeShade="80"/>
      <w:szCs w:val="26"/>
      <w:bdr w:val="none" w:sz="0" w:space="0" w:color="auto"/>
      <w:lang w:val="en-GB" w:eastAsia="en-GB"/>
    </w:rPr>
  </w:style>
  <w:style w:type="paragraph" w:customStyle="1" w:styleId="bodytext4">
    <w:name w:val="body text 4"/>
    <w:basedOn w:val="Normal"/>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17365D"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147515"/>
    <w:rPr>
      <w:vertAlign w:val="superscript"/>
    </w:rPr>
  </w:style>
  <w:style w:type="paragraph" w:customStyle="1" w:styleId="TickBox">
    <w:name w:val="Tick Box"/>
    <w:basedOn w:val="BodyText"/>
    <w:qFormat/>
    <w:rsid w:val="00147515"/>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0F243E" w:themeColor="text2" w:themeShade="80"/>
      <w:sz w:val="32"/>
      <w:szCs w:val="26"/>
      <w:bdr w:val="none" w:sz="0" w:space="0" w:color="auto"/>
      <w:lang w:val="en-GB" w:eastAsia="en-GB"/>
    </w:rPr>
  </w:style>
  <w:style w:type="paragraph" w:styleId="BalloonText">
    <w:name w:val="Balloon Text"/>
    <w:basedOn w:val="Normal"/>
    <w:link w:val="BalloonTextChar"/>
    <w:uiPriority w:val="99"/>
    <w:semiHidden/>
    <w:unhideWhenUsed/>
    <w:rsid w:val="00147515"/>
    <w:rPr>
      <w:rFonts w:ascii="Tahoma" w:hAnsi="Tahoma" w:cs="Tahoma"/>
      <w:sz w:val="16"/>
      <w:szCs w:val="16"/>
    </w:rPr>
  </w:style>
  <w:style w:type="character" w:customStyle="1" w:styleId="BalloonTextChar">
    <w:name w:val="Balloon Text Char"/>
    <w:basedOn w:val="DefaultParagraphFont"/>
    <w:link w:val="BalloonText"/>
    <w:uiPriority w:val="99"/>
    <w:semiHidden/>
    <w:rsid w:val="00147515"/>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A54514"/>
    <w:rPr>
      <w:sz w:val="16"/>
      <w:szCs w:val="16"/>
    </w:rPr>
  </w:style>
  <w:style w:type="paragraph" w:styleId="CommentText">
    <w:name w:val="annotation text"/>
    <w:basedOn w:val="Normal"/>
    <w:link w:val="CommentTextChar"/>
    <w:uiPriority w:val="99"/>
    <w:semiHidden/>
    <w:unhideWhenUsed/>
    <w:rsid w:val="00A54514"/>
    <w:rPr>
      <w:sz w:val="20"/>
      <w:szCs w:val="20"/>
    </w:rPr>
  </w:style>
  <w:style w:type="character" w:customStyle="1" w:styleId="CommentTextChar">
    <w:name w:val="Comment Text Char"/>
    <w:basedOn w:val="DefaultParagraphFont"/>
    <w:link w:val="CommentText"/>
    <w:uiPriority w:val="99"/>
    <w:semiHidden/>
    <w:rsid w:val="00A54514"/>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A54514"/>
    <w:rPr>
      <w:b/>
      <w:bCs/>
    </w:rPr>
  </w:style>
  <w:style w:type="character" w:customStyle="1" w:styleId="CommentSubjectChar">
    <w:name w:val="Comment Subject Char"/>
    <w:basedOn w:val="CommentTextChar"/>
    <w:link w:val="CommentSubject"/>
    <w:uiPriority w:val="99"/>
    <w:semiHidden/>
    <w:rsid w:val="00A54514"/>
    <w:rPr>
      <w:rFonts w:ascii="Times New Roman" w:eastAsia="Arial Unicode MS" w:hAnsi="Times New Roman" w:cs="Times New Roman"/>
      <w:b/>
      <w:bCs/>
      <w:sz w:val="20"/>
      <w:szCs w:val="20"/>
      <w:bdr w:val="nil"/>
      <w:lang w:val="en-US"/>
    </w:rPr>
  </w:style>
  <w:style w:type="paragraph" w:customStyle="1" w:styleId="BodyA">
    <w:name w:val="Body A"/>
    <w:uiPriority w:val="99"/>
    <w:rsid w:val="00B441C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sz w:val="24"/>
      <w:szCs w:val="24"/>
      <w:u w:color="000000"/>
      <w:lang w:val="en-US" w:eastAsia="en-GB"/>
    </w:rPr>
  </w:style>
  <w:style w:type="paragraph" w:customStyle="1" w:styleId="Heading">
    <w:name w:val="Heading"/>
    <w:rsid w:val="00085AA2"/>
    <w:pPr>
      <w:widowControl w:val="0"/>
      <w:pBdr>
        <w:top w:val="nil"/>
        <w:left w:val="nil"/>
        <w:bottom w:val="nil"/>
        <w:right w:val="nil"/>
        <w:between w:val="nil"/>
        <w:bar w:val="nil"/>
      </w:pBdr>
      <w:spacing w:before="2" w:after="0" w:line="240" w:lineRule="auto"/>
      <w:ind w:left="220"/>
      <w:outlineLvl w:val="0"/>
    </w:pPr>
    <w:rPr>
      <w:rFonts w:ascii="Arial" w:eastAsia="Arial Unicode MS" w:hAnsi="Arial" w:cs="Arial Unicode MS"/>
      <w:b/>
      <w:bCs/>
      <w:color w:val="000000"/>
      <w:sz w:val="32"/>
      <w:szCs w:val="32"/>
      <w:u w:color="000000"/>
      <w:bdr w:val="nil"/>
      <w:lang w:val="en-US" w:eastAsia="en-GB"/>
      <w14:textOutline w14:w="0" w14:cap="flat" w14:cmpd="sng" w14:algn="ctr">
        <w14:noFill/>
        <w14:prstDash w14:val="solid"/>
        <w14:bevel/>
      </w14:textOutline>
    </w:rPr>
  </w:style>
  <w:style w:type="paragraph" w:styleId="ListParagraph">
    <w:name w:val="List Paragraph"/>
    <w:rsid w:val="00085AA2"/>
    <w:pPr>
      <w:widowControl w:val="0"/>
      <w:pBdr>
        <w:top w:val="nil"/>
        <w:left w:val="nil"/>
        <w:bottom w:val="nil"/>
        <w:right w:val="nil"/>
        <w:between w:val="nil"/>
        <w:bar w:val="nil"/>
      </w:pBdr>
      <w:spacing w:before="62" w:after="0" w:line="240" w:lineRule="auto"/>
      <w:ind w:left="314" w:hanging="211"/>
    </w:pPr>
    <w:rPr>
      <w:rFonts w:ascii="Arial" w:eastAsia="Arial Unicode MS" w:hAnsi="Arial" w:cs="Arial Unicode MS"/>
      <w:color w:val="000000"/>
      <w:u w:color="000000"/>
      <w:bdr w:val="nil"/>
      <w:lang w:val="en-US" w:eastAsia="en-GB"/>
      <w14:textOutline w14:w="0" w14:cap="flat" w14:cmpd="sng" w14:algn="ctr">
        <w14:noFill/>
        <w14:prstDash w14:val="solid"/>
        <w14:bevel/>
      </w14:textOutline>
    </w:rPr>
  </w:style>
  <w:style w:type="numbering" w:customStyle="1" w:styleId="Bullets">
    <w:name w:val="Bullets"/>
    <w:rsid w:val="00085AA2"/>
    <w:pPr>
      <w:numPr>
        <w:numId w:val="5"/>
      </w:numPr>
    </w:pPr>
  </w:style>
  <w:style w:type="numbering" w:customStyle="1" w:styleId="ImportedStyle3">
    <w:name w:val="Imported Style 3"/>
    <w:rsid w:val="00085AA2"/>
    <w:pPr>
      <w:numPr>
        <w:numId w:val="8"/>
      </w:numPr>
    </w:pPr>
  </w:style>
  <w:style w:type="numbering" w:customStyle="1" w:styleId="Numbered">
    <w:name w:val="Numbered"/>
    <w:rsid w:val="00085AA2"/>
    <w:pPr>
      <w:numPr>
        <w:numId w:val="10"/>
      </w:numPr>
    </w:pPr>
  </w:style>
  <w:style w:type="paragraph" w:customStyle="1" w:styleId="Default">
    <w:name w:val="Default"/>
    <w:rsid w:val="00085AA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Body">
    <w:name w:val="Body"/>
    <w:rsid w:val="00085AA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4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5CCB6D1DB6E774EBC55C4E1F1185C78" ma:contentTypeVersion="12" ma:contentTypeDescription="Create a new document." ma:contentTypeScope="" ma:versionID="c1ead3348f650a27f6a0ae976f5937d5">
  <xsd:schema xmlns:xsd="http://www.w3.org/2001/XMLSchema" xmlns:xs="http://www.w3.org/2001/XMLSchema" xmlns:p="http://schemas.microsoft.com/office/2006/metadata/properties" xmlns:ns2="0917c01a-c122-41b6-b2fb-c1cc685e6516" xmlns:ns3="a1b32a29-4e1a-40a1-8a50-56edbd982916" targetNamespace="http://schemas.microsoft.com/office/2006/metadata/properties" ma:root="true" ma:fieldsID="bf546f54be1b4b06140f5dd81d922e61" ns2:_="" ns3:_="">
    <xsd:import namespace="0917c01a-c122-41b6-b2fb-c1cc685e6516"/>
    <xsd:import namespace="a1b32a29-4e1a-40a1-8a50-56edbd9829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c01a-c122-41b6-b2fb-c1cc685e6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32a29-4e1a-40a1-8a50-56edbd9829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7619d7-3055-442d-9055-e27b562a731b}" ma:internalName="TaxCatchAll" ma:showField="CatchAllData" ma:web="a1b32a29-4e1a-40a1-8a50-56edbd9829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1b32a29-4e1a-40a1-8a50-56edbd982916" xsi:nil="true"/>
    <lcf76f155ced4ddcb4097134ff3c332f xmlns="0917c01a-c122-41b6-b2fb-c1cc685e65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4789A2-687B-41C2-B804-78C348F97E82}">
  <ds:schemaRefs>
    <ds:schemaRef ds:uri="http://schemas.microsoft.com/sharepoint/v3/contenttype/forms"/>
  </ds:schemaRefs>
</ds:datastoreItem>
</file>

<file path=customXml/itemProps2.xml><?xml version="1.0" encoding="utf-8"?>
<ds:datastoreItem xmlns:ds="http://schemas.openxmlformats.org/officeDocument/2006/customXml" ds:itemID="{64A286F4-ED04-2B4F-BE6B-0F3015266CCE}">
  <ds:schemaRefs>
    <ds:schemaRef ds:uri="http://schemas.openxmlformats.org/officeDocument/2006/bibliography"/>
  </ds:schemaRefs>
</ds:datastoreItem>
</file>

<file path=customXml/itemProps3.xml><?xml version="1.0" encoding="utf-8"?>
<ds:datastoreItem xmlns:ds="http://schemas.openxmlformats.org/officeDocument/2006/customXml" ds:itemID="{92834059-6C85-456B-9F26-A3CCE313C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c01a-c122-41b6-b2fb-c1cc685e6516"/>
    <ds:schemaRef ds:uri="a1b32a29-4e1a-40a1-8a50-56edbd982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067ED-1BE5-4D5B-8B80-FB230E4060D5}">
  <ds:schemaRefs>
    <ds:schemaRef ds:uri="http://schemas.microsoft.com/office/2006/metadata/properties"/>
    <ds:schemaRef ds:uri="http://schemas.microsoft.com/office/infopath/2007/PartnerControls"/>
    <ds:schemaRef ds:uri="a1b32a29-4e1a-40a1-8a50-56edbd982916"/>
    <ds:schemaRef ds:uri="0917c01a-c122-41b6-b2fb-c1cc685e6516"/>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Royal College of General Practitioners</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LENNY, Jan (DR NAVIN KUMAR)</cp:lastModifiedBy>
  <cp:revision>3</cp:revision>
  <dcterms:created xsi:type="dcterms:W3CDTF">2022-11-25T13:24:00Z</dcterms:created>
  <dcterms:modified xsi:type="dcterms:W3CDTF">2024-05-20T11:07:00Z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0x01010075CCB6D1DB6E774EBC55C4E1F1185C78</vt:lpwstr>
  </property>
</Properties>
</file>